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sz w:val="28"/>
          <w:szCs w:val="28"/>
          <w:highlight w:val="white"/>
        </w:rPr>
      </w:pPr>
      <w:r w:rsidDel="00000000" w:rsidR="00000000" w:rsidRPr="00000000">
        <w:rPr>
          <w:b w:val="1"/>
          <w:sz w:val="30"/>
          <w:szCs w:val="30"/>
          <w:highlight w:val="white"/>
          <w:rtl w:val="0"/>
        </w:rPr>
        <w:t xml:space="preserve">Teval Elektroonika kestlikkuse poliitika</w:t>
      </w:r>
      <w:r w:rsidDel="00000000" w:rsidR="00000000" w:rsidRPr="00000000">
        <w:rPr>
          <w:b w:val="1"/>
          <w:sz w:val="28"/>
          <w:szCs w:val="28"/>
          <w:highlight w:val="white"/>
          <w:rtl w:val="0"/>
        </w:rPr>
        <w:t xml:space="preserve"> </w:t>
      </w:r>
    </w:p>
    <w:p w:rsidR="00000000" w:rsidDel="00000000" w:rsidP="00000000" w:rsidRDefault="00000000" w:rsidRPr="00000000" w14:paraId="00000002">
      <w:pPr>
        <w:rPr>
          <w:b w:val="1"/>
          <w:sz w:val="28"/>
          <w:szCs w:val="28"/>
          <w:highlight w:val="white"/>
        </w:rPr>
      </w:pPr>
      <w:r w:rsidDel="00000000" w:rsidR="00000000" w:rsidRPr="00000000">
        <w:rPr>
          <w:rtl w:val="0"/>
        </w:rPr>
      </w:r>
    </w:p>
    <w:p w:rsidR="00000000" w:rsidDel="00000000" w:rsidP="00000000" w:rsidRDefault="00000000" w:rsidRPr="00000000" w14:paraId="00000003">
      <w:pPr>
        <w:rPr>
          <w:sz w:val="24"/>
          <w:szCs w:val="24"/>
        </w:rPr>
      </w:pPr>
      <w:r w:rsidDel="00000000" w:rsidR="00000000" w:rsidRPr="00000000">
        <w:rPr>
          <w:b w:val="1"/>
          <w:sz w:val="24"/>
          <w:szCs w:val="24"/>
          <w:rtl w:val="0"/>
        </w:rPr>
        <w:t xml:space="preserve">Eesmärk:</w:t>
      </w:r>
      <w:r w:rsidDel="00000000" w:rsidR="00000000" w:rsidRPr="00000000">
        <w:rPr>
          <w:sz w:val="24"/>
          <w:szCs w:val="24"/>
          <w:rtl w:val="0"/>
        </w:rPr>
        <w:br w:type="textWrapping"/>
        <w:t xml:space="preserve">Tevali kestlikkuse poliitika (ESG-poliitika) kirjeldab meie pühendumist jätkusuutlikkusele, vastutustundlikele äritavadele ja eetilisele tarneahela juhtimisele.</w:t>
      </w:r>
    </w:p>
    <w:p w:rsidR="00000000" w:rsidDel="00000000" w:rsidP="00000000" w:rsidRDefault="00000000" w:rsidRPr="00000000" w14:paraId="00000004">
      <w:pPr>
        <w:rPr>
          <w:sz w:val="24"/>
          <w:szCs w:val="24"/>
        </w:rPr>
      </w:pPr>
      <w:r w:rsidDel="00000000" w:rsidR="00000000" w:rsidRPr="00000000">
        <w:rPr>
          <w:sz w:val="24"/>
          <w:szCs w:val="24"/>
          <w:rtl w:val="0"/>
        </w:rPr>
        <w:t xml:space="preserve">Teval püüdleb oma tegevuses jätkusuutlikkuse poole, pidades silmas, et väike- ja keskmise suurusega ettevõtted (VKE-d) ei pea ESG-standardite alusel aruandlust esitama (EL-i ettevõtete jätkusuutlikkuse aruandluse direktiiv (CSRD), sh Euroopa jätkusuutlikkuse aruandlusstandard).</w:t>
      </w:r>
    </w:p>
    <w:p w:rsidR="00000000" w:rsidDel="00000000" w:rsidP="00000000" w:rsidRDefault="00000000" w:rsidRPr="00000000" w14:paraId="00000005">
      <w:pPr>
        <w:rPr>
          <w:sz w:val="24"/>
          <w:szCs w:val="24"/>
        </w:rPr>
      </w:pPr>
      <w:r w:rsidDel="00000000" w:rsidR="00000000" w:rsidRPr="00000000">
        <w:rPr>
          <w:sz w:val="24"/>
          <w:szCs w:val="24"/>
          <w:rtl w:val="0"/>
        </w:rPr>
        <w:t xml:space="preserve">Valdkonna standardeid järgides lähtume RBA</w:t>
      </w:r>
      <w:r w:rsidDel="00000000" w:rsidR="00000000" w:rsidRPr="00000000">
        <w:rPr>
          <w:sz w:val="24"/>
          <w:szCs w:val="24"/>
          <w:vertAlign w:val="superscript"/>
        </w:rPr>
        <w:footnoteReference w:customMarkFollows="0" w:id="0"/>
      </w:r>
      <w:r w:rsidDel="00000000" w:rsidR="00000000" w:rsidRPr="00000000">
        <w:rPr>
          <w:sz w:val="24"/>
          <w:szCs w:val="24"/>
          <w:rtl w:val="0"/>
        </w:rPr>
        <w:t xml:space="preserve"> soovitustest, et täiustada ESG-valdkondi.</w:t>
      </w:r>
    </w:p>
    <w:p w:rsidR="00000000" w:rsidDel="00000000" w:rsidP="00000000" w:rsidRDefault="00000000" w:rsidRPr="00000000" w14:paraId="00000006">
      <w:pPr>
        <w:rPr>
          <w:sz w:val="24"/>
          <w:szCs w:val="24"/>
        </w:rPr>
      </w:pPr>
      <w:r w:rsidDel="00000000" w:rsidR="00000000" w:rsidRPr="00000000">
        <w:rPr>
          <w:rtl w:val="0"/>
        </w:rPr>
      </w:r>
    </w:p>
    <w:p w:rsidR="00000000" w:rsidDel="00000000" w:rsidP="00000000" w:rsidRDefault="00000000" w:rsidRPr="00000000" w14:paraId="00000007">
      <w:pPr>
        <w:rPr>
          <w:b w:val="1"/>
          <w:sz w:val="24"/>
          <w:szCs w:val="24"/>
        </w:rPr>
      </w:pPr>
      <w:r w:rsidDel="00000000" w:rsidR="00000000" w:rsidRPr="00000000">
        <w:rPr>
          <w:b w:val="1"/>
          <w:sz w:val="24"/>
          <w:szCs w:val="24"/>
          <w:rtl w:val="0"/>
        </w:rPr>
        <w:t xml:space="preserve">1. Vastutus keskkonna eest.</w:t>
      </w:r>
    </w:p>
    <w:p w:rsidR="00000000" w:rsidDel="00000000" w:rsidP="00000000" w:rsidRDefault="00000000" w:rsidRPr="00000000" w14:paraId="00000008">
      <w:pPr>
        <w:numPr>
          <w:ilvl w:val="0"/>
          <w:numId w:val="1"/>
        </w:numPr>
        <w:ind w:left="720" w:hanging="360"/>
        <w:rPr/>
      </w:pPr>
      <w:r w:rsidDel="00000000" w:rsidR="00000000" w:rsidRPr="00000000">
        <w:rPr>
          <w:sz w:val="24"/>
          <w:szCs w:val="24"/>
          <w:rtl w:val="0"/>
        </w:rPr>
        <w:t xml:space="preserve">Vähendada süsinikuheidet, optimeerides transpordimarsruute ja kasutades kütusesäästlikke sõidukeid vastavalt meie keskkonna- ja kestlikule hankepoliitikale.</w:t>
      </w:r>
      <w:r w:rsidDel="00000000" w:rsidR="00000000" w:rsidRPr="00000000">
        <w:rPr>
          <w:rtl w:val="0"/>
        </w:rPr>
      </w:r>
    </w:p>
    <w:p w:rsidR="00000000" w:rsidDel="00000000" w:rsidP="00000000" w:rsidRDefault="00000000" w:rsidRPr="00000000" w14:paraId="00000009">
      <w:pPr>
        <w:numPr>
          <w:ilvl w:val="0"/>
          <w:numId w:val="1"/>
        </w:numPr>
        <w:ind w:left="720" w:hanging="360"/>
        <w:rPr/>
      </w:pPr>
      <w:r w:rsidDel="00000000" w:rsidR="00000000" w:rsidRPr="00000000">
        <w:rPr>
          <w:sz w:val="24"/>
          <w:szCs w:val="24"/>
          <w:rtl w:val="0"/>
        </w:rPr>
        <w:t xml:space="preserve">Vähendada pakendijäätmeid, eelistades taaskasutatavaid ja keskkonnasõbralikke materjale.</w:t>
      </w:r>
      <w:r w:rsidDel="00000000" w:rsidR="00000000" w:rsidRPr="00000000">
        <w:rPr>
          <w:rtl w:val="0"/>
        </w:rPr>
      </w:r>
    </w:p>
    <w:p w:rsidR="00000000" w:rsidDel="00000000" w:rsidP="00000000" w:rsidRDefault="00000000" w:rsidRPr="00000000" w14:paraId="0000000A">
      <w:pPr>
        <w:numPr>
          <w:ilvl w:val="0"/>
          <w:numId w:val="1"/>
        </w:numPr>
        <w:ind w:left="720" w:hanging="360"/>
        <w:rPr/>
      </w:pPr>
      <w:r w:rsidDel="00000000" w:rsidR="00000000" w:rsidRPr="00000000">
        <w:rPr>
          <w:sz w:val="24"/>
          <w:szCs w:val="24"/>
          <w:rtl w:val="0"/>
        </w:rPr>
        <w:t xml:space="preserve">Julgustada tarnijaid järgima jätkusuutlikke tootmis- ja hankimistavasid.</w:t>
      </w:r>
      <w:r w:rsidDel="00000000" w:rsidR="00000000" w:rsidRPr="00000000">
        <w:rPr>
          <w:rtl w:val="0"/>
        </w:rPr>
      </w:r>
    </w:p>
    <w:p w:rsidR="00000000" w:rsidDel="00000000" w:rsidP="00000000" w:rsidRDefault="00000000" w:rsidRPr="00000000" w14:paraId="0000000B">
      <w:pPr>
        <w:rPr>
          <w:b w:val="1"/>
          <w:sz w:val="24"/>
          <w:szCs w:val="24"/>
        </w:rPr>
      </w:pPr>
      <w:r w:rsidDel="00000000" w:rsidR="00000000" w:rsidRPr="00000000">
        <w:rPr>
          <w:b w:val="1"/>
          <w:sz w:val="24"/>
          <w:szCs w:val="24"/>
          <w:rtl w:val="0"/>
        </w:rPr>
        <w:t xml:space="preserve">2. Sotsiaalne vastutus (töötajate heaolu ja inimõigused).</w:t>
      </w:r>
    </w:p>
    <w:p w:rsidR="00000000" w:rsidDel="00000000" w:rsidP="00000000" w:rsidRDefault="00000000" w:rsidRPr="00000000" w14:paraId="0000000C">
      <w:pPr>
        <w:numPr>
          <w:ilvl w:val="0"/>
          <w:numId w:val="6"/>
        </w:numPr>
        <w:ind w:left="720" w:hanging="360"/>
        <w:rPr/>
      </w:pPr>
      <w:r w:rsidDel="00000000" w:rsidR="00000000" w:rsidRPr="00000000">
        <w:rPr>
          <w:sz w:val="24"/>
          <w:szCs w:val="24"/>
          <w:rtl w:val="0"/>
        </w:rPr>
        <w:t xml:space="preserve">Tagada töötajatele ohutud ja õiglased töötingimused vastavalt Tevali Sisekorra eeskirjale ja Kvaliteedikäsiraamatule (ISO 9001).</w:t>
      </w:r>
      <w:r w:rsidDel="00000000" w:rsidR="00000000" w:rsidRPr="00000000">
        <w:rPr>
          <w:rtl w:val="0"/>
        </w:rPr>
      </w:r>
    </w:p>
    <w:p w:rsidR="00000000" w:rsidDel="00000000" w:rsidP="00000000" w:rsidRDefault="00000000" w:rsidRPr="00000000" w14:paraId="0000000D">
      <w:pPr>
        <w:numPr>
          <w:ilvl w:val="0"/>
          <w:numId w:val="6"/>
        </w:numPr>
        <w:ind w:left="720" w:hanging="360"/>
        <w:rPr/>
      </w:pPr>
      <w:r w:rsidDel="00000000" w:rsidR="00000000" w:rsidRPr="00000000">
        <w:rPr>
          <w:sz w:val="24"/>
          <w:szCs w:val="24"/>
          <w:rtl w:val="0"/>
        </w:rPr>
        <w:t xml:space="preserve">Edendada võrdseid võimalusi ja mitmekesisust värbamisel ning töötingimuste loomisel vastavalt meie Sisekorra eeskirjale.</w:t>
      </w:r>
      <w:r w:rsidDel="00000000" w:rsidR="00000000" w:rsidRPr="00000000">
        <w:rPr>
          <w:rtl w:val="0"/>
        </w:rPr>
      </w:r>
    </w:p>
    <w:p w:rsidR="00000000" w:rsidDel="00000000" w:rsidP="00000000" w:rsidRDefault="00000000" w:rsidRPr="00000000" w14:paraId="0000000E">
      <w:pPr>
        <w:numPr>
          <w:ilvl w:val="0"/>
          <w:numId w:val="6"/>
        </w:numPr>
        <w:ind w:left="720" w:hanging="360"/>
        <w:rPr/>
      </w:pPr>
      <w:r w:rsidDel="00000000" w:rsidR="00000000" w:rsidRPr="00000000">
        <w:rPr>
          <w:sz w:val="24"/>
          <w:szCs w:val="24"/>
          <w:rtl w:val="0"/>
        </w:rPr>
        <w:t xml:space="preserve">Teha koostööd tarnijatega, kes järgivad tööseadusi ja inimõiguste standardeid ning nõustuvad meie käitumiskoodeksiga.</w:t>
      </w:r>
      <w:r w:rsidDel="00000000" w:rsidR="00000000" w:rsidRPr="00000000">
        <w:rPr>
          <w:rtl w:val="0"/>
        </w:rPr>
      </w:r>
    </w:p>
    <w:p w:rsidR="00000000" w:rsidDel="00000000" w:rsidP="00000000" w:rsidRDefault="00000000" w:rsidRPr="00000000" w14:paraId="0000000F">
      <w:pPr>
        <w:numPr>
          <w:ilvl w:val="0"/>
          <w:numId w:val="6"/>
        </w:numPr>
        <w:ind w:left="720" w:hanging="360"/>
        <w:rPr/>
      </w:pPr>
      <w:r w:rsidDel="00000000" w:rsidR="00000000" w:rsidRPr="00000000">
        <w:rPr>
          <w:sz w:val="24"/>
          <w:szCs w:val="24"/>
          <w:rtl w:val="0"/>
        </w:rPr>
        <w:t xml:space="preserve">Pakkuda koolitusi tööohutuse ja eetiliste äritavade kohta.</w:t>
      </w:r>
      <w:r w:rsidDel="00000000" w:rsidR="00000000" w:rsidRPr="00000000">
        <w:rPr>
          <w:rtl w:val="0"/>
        </w:rPr>
      </w:r>
    </w:p>
    <w:p w:rsidR="00000000" w:rsidDel="00000000" w:rsidP="00000000" w:rsidRDefault="00000000" w:rsidRPr="00000000" w14:paraId="00000010">
      <w:pPr>
        <w:rPr>
          <w:b w:val="1"/>
          <w:sz w:val="24"/>
          <w:szCs w:val="24"/>
        </w:rPr>
      </w:pPr>
      <w:r w:rsidDel="00000000" w:rsidR="00000000" w:rsidRPr="00000000">
        <w:rPr>
          <w:b w:val="1"/>
          <w:sz w:val="24"/>
          <w:szCs w:val="24"/>
          <w:rtl w:val="0"/>
        </w:rPr>
        <w:t xml:space="preserve">3. Väärtuspõhine juhtimine ja eetilised äritavad</w:t>
      </w:r>
    </w:p>
    <w:p w:rsidR="00000000" w:rsidDel="00000000" w:rsidP="00000000" w:rsidRDefault="00000000" w:rsidRPr="00000000" w14:paraId="00000011">
      <w:pPr>
        <w:numPr>
          <w:ilvl w:val="0"/>
          <w:numId w:val="7"/>
        </w:numPr>
        <w:ind w:left="720" w:hanging="360"/>
        <w:rPr/>
      </w:pPr>
      <w:r w:rsidDel="00000000" w:rsidR="00000000" w:rsidRPr="00000000">
        <w:rPr>
          <w:sz w:val="24"/>
          <w:szCs w:val="24"/>
          <w:rtl w:val="0"/>
        </w:rPr>
        <w:t xml:space="preserve">Rakendada nulltolerantsi altkäemaksu ja korruptsiooni suhtes, nagu on sätestatud meie Kvaliteedikäsiraamatus.</w:t>
      </w:r>
      <w:r w:rsidDel="00000000" w:rsidR="00000000" w:rsidRPr="00000000">
        <w:rPr>
          <w:rtl w:val="0"/>
        </w:rPr>
      </w:r>
    </w:p>
    <w:p w:rsidR="00000000" w:rsidDel="00000000" w:rsidP="00000000" w:rsidRDefault="00000000" w:rsidRPr="00000000" w14:paraId="00000012">
      <w:pPr>
        <w:numPr>
          <w:ilvl w:val="0"/>
          <w:numId w:val="7"/>
        </w:numPr>
        <w:ind w:left="720" w:hanging="360"/>
        <w:rPr/>
      </w:pPr>
      <w:r w:rsidDel="00000000" w:rsidR="00000000" w:rsidRPr="00000000">
        <w:rPr>
          <w:sz w:val="24"/>
          <w:szCs w:val="24"/>
          <w:rtl w:val="0"/>
        </w:rPr>
        <w:t xml:space="preserve">Kaitsta klientide ja tarnijate andmeid vastavalt GDPR-ile ja teistele privaatsusseadustele. Tevali Privaatsuspoliitika on avaldatud meie veebilehel.</w:t>
      </w:r>
      <w:r w:rsidDel="00000000" w:rsidR="00000000" w:rsidRPr="00000000">
        <w:rPr>
          <w:rtl w:val="0"/>
        </w:rPr>
      </w:r>
    </w:p>
    <w:p w:rsidR="00000000" w:rsidDel="00000000" w:rsidP="00000000" w:rsidRDefault="00000000" w:rsidRPr="00000000" w14:paraId="00000013">
      <w:pPr>
        <w:numPr>
          <w:ilvl w:val="0"/>
          <w:numId w:val="7"/>
        </w:numPr>
        <w:ind w:left="720" w:hanging="360"/>
        <w:rPr/>
      </w:pPr>
      <w:r w:rsidDel="00000000" w:rsidR="00000000" w:rsidRPr="00000000">
        <w:rPr>
          <w:sz w:val="24"/>
          <w:szCs w:val="24"/>
          <w:rtl w:val="0"/>
        </w:rPr>
        <w:t xml:space="preserve">Tagada, et kõik tarnijad järgivad eetilise hankimise põhimõtteid. </w:t>
      </w:r>
      <w:r w:rsidDel="00000000" w:rsidR="00000000" w:rsidRPr="00000000">
        <w:rPr>
          <w:rtl w:val="0"/>
        </w:rPr>
      </w:r>
    </w:p>
    <w:p w:rsidR="00000000" w:rsidDel="00000000" w:rsidP="00000000" w:rsidRDefault="00000000" w:rsidRPr="00000000" w14:paraId="00000014">
      <w:pPr>
        <w:numPr>
          <w:ilvl w:val="0"/>
          <w:numId w:val="7"/>
        </w:numPr>
        <w:ind w:left="720" w:hanging="360"/>
        <w:rPr/>
      </w:pPr>
      <w:r w:rsidDel="00000000" w:rsidR="00000000" w:rsidRPr="00000000">
        <w:rPr>
          <w:sz w:val="24"/>
          <w:szCs w:val="24"/>
          <w:rtl w:val="0"/>
        </w:rPr>
        <w:t xml:space="preserve">Viia regulaarselt läbi sisekontrolle ESG tulemuslikkuse parandamiseks.</w:t>
      </w:r>
      <w:r w:rsidDel="00000000" w:rsidR="00000000" w:rsidRPr="00000000">
        <w:rPr>
          <w:rtl w:val="0"/>
        </w:rPr>
      </w:r>
    </w:p>
    <w:p w:rsidR="00000000" w:rsidDel="00000000" w:rsidP="00000000" w:rsidRDefault="00000000" w:rsidRPr="00000000" w14:paraId="00000015">
      <w:pPr>
        <w:rPr>
          <w:b w:val="1"/>
          <w:sz w:val="24"/>
          <w:szCs w:val="24"/>
        </w:rPr>
      </w:pPr>
      <w:r w:rsidDel="00000000" w:rsidR="00000000" w:rsidRPr="00000000">
        <w:rPr>
          <w:rtl w:val="0"/>
        </w:rPr>
      </w:r>
    </w:p>
    <w:p w:rsidR="00000000" w:rsidDel="00000000" w:rsidP="00000000" w:rsidRDefault="00000000" w:rsidRPr="00000000" w14:paraId="00000016">
      <w:pPr>
        <w:rPr>
          <w:b w:val="1"/>
          <w:sz w:val="24"/>
          <w:szCs w:val="24"/>
        </w:rPr>
      </w:pPr>
      <w:r w:rsidDel="00000000" w:rsidR="00000000" w:rsidRPr="00000000">
        <w:rPr>
          <w:rtl w:val="0"/>
        </w:rPr>
      </w:r>
    </w:p>
    <w:p w:rsidR="00000000" w:rsidDel="00000000" w:rsidP="00000000" w:rsidRDefault="00000000" w:rsidRPr="00000000" w14:paraId="00000017">
      <w:pPr>
        <w:rPr>
          <w:b w:val="1"/>
          <w:sz w:val="24"/>
          <w:szCs w:val="24"/>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9">
      <w:pPr>
        <w:rPr>
          <w:b w:val="1"/>
          <w:sz w:val="30"/>
          <w:szCs w:val="30"/>
        </w:rPr>
      </w:pPr>
      <w:r w:rsidDel="00000000" w:rsidR="00000000" w:rsidRPr="00000000">
        <w:rPr>
          <w:b w:val="1"/>
          <w:sz w:val="30"/>
          <w:szCs w:val="30"/>
          <w:rtl w:val="0"/>
        </w:rPr>
        <w:t xml:space="preserve">Tarnijate käitumiskoodeks</w:t>
      </w:r>
    </w:p>
    <w:p w:rsidR="00000000" w:rsidDel="00000000" w:rsidP="00000000" w:rsidRDefault="00000000" w:rsidRPr="00000000" w14:paraId="0000001A">
      <w:pPr>
        <w:rPr>
          <w:b w:val="1"/>
        </w:rPr>
      </w:pPr>
      <w:r w:rsidDel="00000000" w:rsidR="00000000" w:rsidRPr="00000000">
        <w:rPr>
          <w:rtl w:val="0"/>
        </w:rPr>
      </w:r>
    </w:p>
    <w:p w:rsidR="00000000" w:rsidDel="00000000" w:rsidP="00000000" w:rsidRDefault="00000000" w:rsidRPr="00000000" w14:paraId="0000001B">
      <w:pPr>
        <w:rPr>
          <w:sz w:val="24"/>
          <w:szCs w:val="24"/>
        </w:rPr>
      </w:pPr>
      <w:r w:rsidDel="00000000" w:rsidR="00000000" w:rsidRPr="00000000">
        <w:rPr>
          <w:b w:val="1"/>
          <w:sz w:val="24"/>
          <w:szCs w:val="24"/>
          <w:rtl w:val="0"/>
        </w:rPr>
        <w:t xml:space="preserve">Eesmärk:</w:t>
      </w:r>
      <w:r w:rsidDel="00000000" w:rsidR="00000000" w:rsidRPr="00000000">
        <w:rPr>
          <w:sz w:val="24"/>
          <w:szCs w:val="24"/>
          <w:rtl w:val="0"/>
        </w:rPr>
        <w:br w:type="textWrapping"/>
        <w:t xml:space="preserve">See dokument sätestab eetilised, keskkonnaalased ja sotsiaalsed standardid, mida Teval Elektroonika ootab kõigilt tarnijatelt ja koostööpartneritelt.</w:t>
      </w:r>
    </w:p>
    <w:p w:rsidR="00000000" w:rsidDel="00000000" w:rsidP="00000000" w:rsidRDefault="00000000" w:rsidRPr="00000000" w14:paraId="0000001C">
      <w:pPr>
        <w:rPr>
          <w:sz w:val="24"/>
          <w:szCs w:val="24"/>
        </w:rPr>
      </w:pPr>
      <w:r w:rsidDel="00000000" w:rsidR="00000000" w:rsidRPr="00000000">
        <w:rPr>
          <w:rtl w:val="0"/>
        </w:rPr>
      </w:r>
    </w:p>
    <w:p w:rsidR="00000000" w:rsidDel="00000000" w:rsidP="00000000" w:rsidRDefault="00000000" w:rsidRPr="00000000" w14:paraId="0000001D">
      <w:pPr>
        <w:rPr>
          <w:b w:val="1"/>
          <w:sz w:val="24"/>
          <w:szCs w:val="24"/>
        </w:rPr>
      </w:pPr>
      <w:r w:rsidDel="00000000" w:rsidR="00000000" w:rsidRPr="00000000">
        <w:rPr>
          <w:b w:val="1"/>
          <w:sz w:val="24"/>
          <w:szCs w:val="24"/>
          <w:rtl w:val="0"/>
        </w:rPr>
        <w:t xml:space="preserve">1. Seaduste ja määruste järgimine</w:t>
      </w:r>
    </w:p>
    <w:p w:rsidR="00000000" w:rsidDel="00000000" w:rsidP="00000000" w:rsidRDefault="00000000" w:rsidRPr="00000000" w14:paraId="0000001E">
      <w:pPr>
        <w:numPr>
          <w:ilvl w:val="0"/>
          <w:numId w:val="13"/>
        </w:numPr>
        <w:ind w:left="720" w:hanging="360"/>
        <w:rPr>
          <w:sz w:val="24"/>
          <w:szCs w:val="24"/>
        </w:rPr>
      </w:pPr>
      <w:r w:rsidDel="00000000" w:rsidR="00000000" w:rsidRPr="00000000">
        <w:rPr>
          <w:sz w:val="24"/>
          <w:szCs w:val="24"/>
          <w:rtl w:val="0"/>
        </w:rPr>
        <w:t xml:space="preserve">Tarnijad peavad järgima kõiki kohalikke, riiklikke ja rahvusvahelisi seadusi, mis puudutavad tööjõudu, keskkonnakaitset ja õiglast kaubandust.</w:t>
      </w:r>
    </w:p>
    <w:p w:rsidR="00000000" w:rsidDel="00000000" w:rsidP="00000000" w:rsidRDefault="00000000" w:rsidRPr="00000000" w14:paraId="0000001F">
      <w:pPr>
        <w:numPr>
          <w:ilvl w:val="0"/>
          <w:numId w:val="13"/>
        </w:numPr>
        <w:ind w:left="720" w:hanging="360"/>
        <w:rPr>
          <w:sz w:val="24"/>
          <w:szCs w:val="24"/>
        </w:rPr>
      </w:pPr>
      <w:r w:rsidDel="00000000" w:rsidR="00000000" w:rsidRPr="00000000">
        <w:rPr>
          <w:sz w:val="24"/>
          <w:szCs w:val="24"/>
          <w:rtl w:val="0"/>
        </w:rPr>
        <w:t xml:space="preserve">Kõik elektroonikakomponendid peavad vastama ELi RoHS (ohtlike ainete piiramise) regulatsioonidele.</w:t>
      </w:r>
    </w:p>
    <w:p w:rsidR="00000000" w:rsidDel="00000000" w:rsidP="00000000" w:rsidRDefault="00000000" w:rsidRPr="00000000" w14:paraId="00000020">
      <w:pPr>
        <w:rPr>
          <w:b w:val="1"/>
          <w:sz w:val="24"/>
          <w:szCs w:val="24"/>
        </w:rPr>
      </w:pPr>
      <w:r w:rsidDel="00000000" w:rsidR="00000000" w:rsidRPr="00000000">
        <w:rPr>
          <w:rtl w:val="0"/>
        </w:rPr>
      </w:r>
    </w:p>
    <w:p w:rsidR="00000000" w:rsidDel="00000000" w:rsidP="00000000" w:rsidRDefault="00000000" w:rsidRPr="00000000" w14:paraId="00000021">
      <w:pPr>
        <w:rPr>
          <w:b w:val="1"/>
          <w:sz w:val="24"/>
          <w:szCs w:val="24"/>
        </w:rPr>
      </w:pPr>
      <w:r w:rsidDel="00000000" w:rsidR="00000000" w:rsidRPr="00000000">
        <w:rPr>
          <w:b w:val="1"/>
          <w:sz w:val="24"/>
          <w:szCs w:val="24"/>
          <w:rtl w:val="0"/>
        </w:rPr>
        <w:t xml:space="preserve">2. Keskkonnavastutus</w:t>
      </w:r>
    </w:p>
    <w:p w:rsidR="00000000" w:rsidDel="00000000" w:rsidP="00000000" w:rsidRDefault="00000000" w:rsidRPr="00000000" w14:paraId="00000022">
      <w:pPr>
        <w:numPr>
          <w:ilvl w:val="0"/>
          <w:numId w:val="2"/>
        </w:numPr>
        <w:ind w:left="720" w:hanging="360"/>
        <w:rPr>
          <w:sz w:val="24"/>
          <w:szCs w:val="24"/>
        </w:rPr>
      </w:pPr>
      <w:r w:rsidDel="00000000" w:rsidR="00000000" w:rsidRPr="00000000">
        <w:rPr>
          <w:sz w:val="24"/>
          <w:szCs w:val="24"/>
          <w:rtl w:val="0"/>
        </w:rPr>
        <w:t xml:space="preserve">Kutsume tarnijaid üles vähendama tootmise ja logistika süsiniku jalajälge, jäätmeid ja energiatarbimist.</w:t>
      </w:r>
    </w:p>
    <w:p w:rsidR="00000000" w:rsidDel="00000000" w:rsidP="00000000" w:rsidRDefault="00000000" w:rsidRPr="00000000" w14:paraId="00000023">
      <w:pPr>
        <w:numPr>
          <w:ilvl w:val="0"/>
          <w:numId w:val="2"/>
        </w:numPr>
        <w:ind w:left="720" w:hanging="360"/>
        <w:rPr>
          <w:sz w:val="24"/>
          <w:szCs w:val="24"/>
        </w:rPr>
      </w:pPr>
      <w:r w:rsidDel="00000000" w:rsidR="00000000" w:rsidRPr="00000000">
        <w:rPr>
          <w:sz w:val="24"/>
          <w:szCs w:val="24"/>
          <w:rtl w:val="0"/>
        </w:rPr>
        <w:t xml:space="preserve">Soovitatav on kasutada keskkonnasõbralikke pakendeid (taaskasutatavad materjalid, vähendatud plastiku kasutus).</w:t>
      </w:r>
    </w:p>
    <w:p w:rsidR="00000000" w:rsidDel="00000000" w:rsidP="00000000" w:rsidRDefault="00000000" w:rsidRPr="00000000" w14:paraId="00000024">
      <w:pPr>
        <w:numPr>
          <w:ilvl w:val="0"/>
          <w:numId w:val="2"/>
        </w:numPr>
        <w:ind w:left="720" w:hanging="360"/>
        <w:rPr>
          <w:sz w:val="24"/>
          <w:szCs w:val="24"/>
        </w:rPr>
      </w:pPr>
      <w:r w:rsidDel="00000000" w:rsidR="00000000" w:rsidRPr="00000000">
        <w:rPr>
          <w:sz w:val="24"/>
          <w:szCs w:val="24"/>
          <w:rtl w:val="0"/>
        </w:rPr>
        <w:t xml:space="preserve">Nõutud on jäätmete nõuetekohane kõrvaldamine ja taaskasutus.</w:t>
      </w:r>
    </w:p>
    <w:p w:rsidR="00000000" w:rsidDel="00000000" w:rsidP="00000000" w:rsidRDefault="00000000" w:rsidRPr="00000000" w14:paraId="00000025">
      <w:pPr>
        <w:rPr>
          <w:b w:val="1"/>
          <w:sz w:val="24"/>
          <w:szCs w:val="24"/>
        </w:rPr>
      </w:pPr>
      <w:r w:rsidDel="00000000" w:rsidR="00000000" w:rsidRPr="00000000">
        <w:rPr>
          <w:rtl w:val="0"/>
        </w:rPr>
      </w:r>
    </w:p>
    <w:p w:rsidR="00000000" w:rsidDel="00000000" w:rsidP="00000000" w:rsidRDefault="00000000" w:rsidRPr="00000000" w14:paraId="00000026">
      <w:pPr>
        <w:rPr>
          <w:b w:val="1"/>
          <w:sz w:val="24"/>
          <w:szCs w:val="24"/>
        </w:rPr>
      </w:pPr>
      <w:r w:rsidDel="00000000" w:rsidR="00000000" w:rsidRPr="00000000">
        <w:rPr>
          <w:b w:val="1"/>
          <w:sz w:val="24"/>
          <w:szCs w:val="24"/>
          <w:rtl w:val="0"/>
        </w:rPr>
        <w:t xml:space="preserve">3. Tööjõud ja inimõigused</w:t>
      </w:r>
    </w:p>
    <w:p w:rsidR="00000000" w:rsidDel="00000000" w:rsidP="00000000" w:rsidRDefault="00000000" w:rsidRPr="00000000" w14:paraId="00000027">
      <w:pPr>
        <w:numPr>
          <w:ilvl w:val="0"/>
          <w:numId w:val="3"/>
        </w:numPr>
        <w:ind w:left="720" w:hanging="360"/>
        <w:rPr/>
      </w:pPr>
      <w:r w:rsidDel="00000000" w:rsidR="00000000" w:rsidRPr="00000000">
        <w:rPr>
          <w:sz w:val="24"/>
          <w:szCs w:val="24"/>
          <w:rtl w:val="0"/>
        </w:rPr>
        <w:t xml:space="preserve">Lapstööjõu ja sunnitöö kasutamine ei ole lubatud tootmise ega tarnimise üheski etapis.</w:t>
      </w:r>
      <w:r w:rsidDel="00000000" w:rsidR="00000000" w:rsidRPr="00000000">
        <w:rPr>
          <w:rtl w:val="0"/>
        </w:rPr>
      </w:r>
    </w:p>
    <w:p w:rsidR="00000000" w:rsidDel="00000000" w:rsidP="00000000" w:rsidRDefault="00000000" w:rsidRPr="00000000" w14:paraId="00000028">
      <w:pPr>
        <w:numPr>
          <w:ilvl w:val="0"/>
          <w:numId w:val="3"/>
        </w:numPr>
        <w:ind w:left="720" w:hanging="360"/>
        <w:rPr/>
      </w:pPr>
      <w:r w:rsidDel="00000000" w:rsidR="00000000" w:rsidRPr="00000000">
        <w:rPr>
          <w:sz w:val="24"/>
          <w:szCs w:val="24"/>
          <w:rtl w:val="0"/>
        </w:rPr>
        <w:t xml:space="preserve">Kõigile töötajatele tuleb tagada õiglased palgad ja ohutud töötingimused.</w:t>
      </w:r>
      <w:r w:rsidDel="00000000" w:rsidR="00000000" w:rsidRPr="00000000">
        <w:rPr>
          <w:rtl w:val="0"/>
        </w:rPr>
      </w:r>
    </w:p>
    <w:p w:rsidR="00000000" w:rsidDel="00000000" w:rsidP="00000000" w:rsidRDefault="00000000" w:rsidRPr="00000000" w14:paraId="00000029">
      <w:pPr>
        <w:numPr>
          <w:ilvl w:val="0"/>
          <w:numId w:val="3"/>
        </w:numPr>
        <w:ind w:left="720" w:hanging="360"/>
        <w:rPr/>
      </w:pPr>
      <w:r w:rsidDel="00000000" w:rsidR="00000000" w:rsidRPr="00000000">
        <w:rPr>
          <w:sz w:val="24"/>
          <w:szCs w:val="24"/>
          <w:rtl w:val="0"/>
        </w:rPr>
        <w:t xml:space="preserve">Tarnijad peavad vältima diskrimineerimist töökohal ja tagama kõigile töötajatele võrdsed võimalused.</w:t>
      </w:r>
      <w:r w:rsidDel="00000000" w:rsidR="00000000" w:rsidRPr="00000000">
        <w:rPr>
          <w:rtl w:val="0"/>
        </w:rPr>
      </w:r>
    </w:p>
    <w:p w:rsidR="00000000" w:rsidDel="00000000" w:rsidP="00000000" w:rsidRDefault="00000000" w:rsidRPr="00000000" w14:paraId="0000002A">
      <w:pPr>
        <w:rPr>
          <w:b w:val="1"/>
          <w:sz w:val="24"/>
          <w:szCs w:val="24"/>
        </w:rPr>
      </w:pPr>
      <w:r w:rsidDel="00000000" w:rsidR="00000000" w:rsidRPr="00000000">
        <w:rPr>
          <w:rtl w:val="0"/>
        </w:rPr>
      </w:r>
    </w:p>
    <w:p w:rsidR="00000000" w:rsidDel="00000000" w:rsidP="00000000" w:rsidRDefault="00000000" w:rsidRPr="00000000" w14:paraId="0000002B">
      <w:pPr>
        <w:rPr>
          <w:b w:val="1"/>
          <w:sz w:val="24"/>
          <w:szCs w:val="24"/>
        </w:rPr>
      </w:pPr>
      <w:r w:rsidDel="00000000" w:rsidR="00000000" w:rsidRPr="00000000">
        <w:rPr>
          <w:b w:val="1"/>
          <w:sz w:val="24"/>
          <w:szCs w:val="24"/>
          <w:rtl w:val="0"/>
        </w:rPr>
        <w:t xml:space="preserve">4. Eetilised äritavad</w:t>
      </w:r>
    </w:p>
    <w:p w:rsidR="00000000" w:rsidDel="00000000" w:rsidP="00000000" w:rsidRDefault="00000000" w:rsidRPr="00000000" w14:paraId="0000002C">
      <w:pPr>
        <w:numPr>
          <w:ilvl w:val="0"/>
          <w:numId w:val="4"/>
        </w:numPr>
        <w:ind w:left="720" w:hanging="360"/>
        <w:rPr/>
      </w:pPr>
      <w:r w:rsidDel="00000000" w:rsidR="00000000" w:rsidRPr="00000000">
        <w:rPr>
          <w:sz w:val="24"/>
          <w:szCs w:val="24"/>
          <w:rtl w:val="0"/>
        </w:rPr>
        <w:t xml:space="preserve">Pistised, korruptsioon ja pettused mistahes vormis ei ole lubatud.</w:t>
      </w:r>
      <w:r w:rsidDel="00000000" w:rsidR="00000000" w:rsidRPr="00000000">
        <w:rPr>
          <w:rtl w:val="0"/>
        </w:rPr>
      </w:r>
    </w:p>
    <w:p w:rsidR="00000000" w:rsidDel="00000000" w:rsidP="00000000" w:rsidRDefault="00000000" w:rsidRPr="00000000" w14:paraId="0000002D">
      <w:pPr>
        <w:numPr>
          <w:ilvl w:val="0"/>
          <w:numId w:val="4"/>
        </w:numPr>
        <w:ind w:left="720" w:hanging="360"/>
        <w:rPr/>
      </w:pPr>
      <w:r w:rsidDel="00000000" w:rsidR="00000000" w:rsidRPr="00000000">
        <w:rPr>
          <w:sz w:val="24"/>
          <w:szCs w:val="24"/>
          <w:rtl w:val="0"/>
        </w:rPr>
        <w:t xml:space="preserve">Tarnijad peavad austama intellektuaalomandi õigusi ja kaitsma klientide andmeid.</w:t>
      </w:r>
      <w:r w:rsidDel="00000000" w:rsidR="00000000" w:rsidRPr="00000000">
        <w:rPr>
          <w:rtl w:val="0"/>
        </w:rPr>
      </w:r>
    </w:p>
    <w:p w:rsidR="00000000" w:rsidDel="00000000" w:rsidP="00000000" w:rsidRDefault="00000000" w:rsidRPr="00000000" w14:paraId="0000002E">
      <w:pPr>
        <w:rPr>
          <w:b w:val="1"/>
          <w:sz w:val="24"/>
          <w:szCs w:val="24"/>
        </w:rPr>
      </w:pPr>
      <w:r w:rsidDel="00000000" w:rsidR="00000000" w:rsidRPr="00000000">
        <w:rPr>
          <w:rtl w:val="0"/>
        </w:rPr>
      </w:r>
    </w:p>
    <w:p w:rsidR="00000000" w:rsidDel="00000000" w:rsidP="00000000" w:rsidRDefault="00000000" w:rsidRPr="00000000" w14:paraId="0000002F">
      <w:pPr>
        <w:rPr>
          <w:b w:val="1"/>
          <w:sz w:val="24"/>
          <w:szCs w:val="24"/>
        </w:rPr>
      </w:pPr>
      <w:r w:rsidDel="00000000" w:rsidR="00000000" w:rsidRPr="00000000">
        <w:rPr>
          <w:b w:val="1"/>
          <w:sz w:val="24"/>
          <w:szCs w:val="24"/>
          <w:rtl w:val="0"/>
        </w:rPr>
        <w:t xml:space="preserve">5. Tarneahela läbipaistvus</w:t>
      </w:r>
    </w:p>
    <w:p w:rsidR="00000000" w:rsidDel="00000000" w:rsidP="00000000" w:rsidRDefault="00000000" w:rsidRPr="00000000" w14:paraId="00000030">
      <w:pPr>
        <w:numPr>
          <w:ilvl w:val="0"/>
          <w:numId w:val="5"/>
        </w:numPr>
        <w:ind w:left="720" w:hanging="360"/>
        <w:rPr/>
      </w:pPr>
      <w:r w:rsidDel="00000000" w:rsidR="00000000" w:rsidRPr="00000000">
        <w:rPr>
          <w:sz w:val="24"/>
          <w:szCs w:val="24"/>
          <w:rtl w:val="0"/>
        </w:rPr>
        <w:t xml:space="preserve">Tarnijad peavad jälgima oma tarnijaid ning tagama, et ka nemad järgivad eetilisi ja keskkonnaalaseid standardeid.</w:t>
      </w:r>
      <w:r w:rsidDel="00000000" w:rsidR="00000000" w:rsidRPr="00000000">
        <w:rPr>
          <w:rtl w:val="0"/>
        </w:rPr>
      </w:r>
    </w:p>
    <w:p w:rsidR="00000000" w:rsidDel="00000000" w:rsidP="00000000" w:rsidRDefault="00000000" w:rsidRPr="00000000" w14:paraId="00000031">
      <w:pPr>
        <w:numPr>
          <w:ilvl w:val="0"/>
          <w:numId w:val="5"/>
        </w:numPr>
        <w:ind w:left="720" w:hanging="360"/>
        <w:rPr/>
      </w:pPr>
      <w:r w:rsidDel="00000000" w:rsidR="00000000" w:rsidRPr="00000000">
        <w:rPr>
          <w:sz w:val="24"/>
          <w:szCs w:val="24"/>
          <w:rtl w:val="0"/>
        </w:rPr>
        <w:t xml:space="preserve">Tarnijad peavad soovi korral esitama dokumentatsiooni, mis tõendab vastavust jätkusuutlikkuse nõuetele.</w:t>
      </w:r>
      <w:r w:rsidDel="00000000" w:rsidR="00000000" w:rsidRPr="00000000">
        <w:rPr>
          <w:rtl w:val="0"/>
        </w:rPr>
      </w:r>
    </w:p>
    <w:p w:rsidR="00000000" w:rsidDel="00000000" w:rsidP="00000000" w:rsidRDefault="00000000" w:rsidRPr="00000000" w14:paraId="00000032">
      <w:pPr>
        <w:rPr>
          <w:b w:val="1"/>
        </w:rPr>
      </w:pPr>
      <w:r w:rsidDel="00000000" w:rsidR="00000000" w:rsidRPr="00000000">
        <w:rPr>
          <w:rtl w:val="0"/>
        </w:rPr>
      </w:r>
    </w:p>
    <w:p w:rsidR="00000000" w:rsidDel="00000000" w:rsidP="00000000" w:rsidRDefault="00000000" w:rsidRPr="00000000" w14:paraId="00000033">
      <w:pPr>
        <w:rPr>
          <w:b w:val="1"/>
        </w:rPr>
      </w:pPr>
      <w:r w:rsidDel="00000000" w:rsidR="00000000" w:rsidRPr="00000000">
        <w:rPr>
          <w:rtl w:val="0"/>
        </w:rPr>
      </w:r>
    </w:p>
    <w:p w:rsidR="00000000" w:rsidDel="00000000" w:rsidP="00000000" w:rsidRDefault="00000000" w:rsidRPr="00000000" w14:paraId="00000034">
      <w:pPr>
        <w:rPr>
          <w:b w:val="1"/>
        </w:rPr>
      </w:pPr>
      <w:r w:rsidDel="00000000" w:rsidR="00000000" w:rsidRPr="00000000">
        <w:rPr>
          <w:rtl w:val="0"/>
        </w:rPr>
      </w:r>
    </w:p>
    <w:p w:rsidR="00000000" w:rsidDel="00000000" w:rsidP="00000000" w:rsidRDefault="00000000" w:rsidRPr="00000000" w14:paraId="00000035">
      <w:pPr>
        <w:rPr>
          <w:sz w:val="24"/>
          <w:szCs w:val="24"/>
        </w:rPr>
      </w:pPr>
      <w:r w:rsidDel="00000000" w:rsidR="00000000" w:rsidRPr="00000000">
        <w:rPr>
          <w:b w:val="1"/>
          <w:rtl w:val="0"/>
        </w:rPr>
        <w:t xml:space="preserve">Nõusolek:</w:t>
      </w:r>
      <w:r w:rsidDel="00000000" w:rsidR="00000000" w:rsidRPr="00000000">
        <w:rPr>
          <w:rtl w:val="0"/>
        </w:rPr>
        <w:br w:type="textWrapping"/>
        <w:t xml:space="preserve">Allkirjastades selle dokumendi, kinnitab tarnija, et ta on tutvunud käesoleva tarnijate käitumiskoodeksiga ja nõustub järgima selles sätestatud standardeid.</w:t>
      </w:r>
      <w:r w:rsidDel="00000000" w:rsidR="00000000" w:rsidRPr="00000000">
        <w:rPr>
          <w:rtl w:val="0"/>
        </w:rPr>
      </w:r>
    </w:p>
    <w:p w:rsidR="00000000" w:rsidDel="00000000" w:rsidP="00000000" w:rsidRDefault="00000000" w:rsidRPr="00000000" w14:paraId="00000036">
      <w:pPr>
        <w:rPr>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37">
      <w:pPr>
        <w:rPr>
          <w:b w:val="1"/>
          <w:sz w:val="24"/>
          <w:szCs w:val="24"/>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Liberation Serif" w:cs="Liberation Serif" w:eastAsia="Liberation Serif" w:hAnsi="Liberation Serif"/>
          <w:b w:val="1"/>
          <w:i w:val="0"/>
          <w:smallCaps w:val="0"/>
          <w:strike w:val="0"/>
          <w:color w:val="000000"/>
          <w:sz w:val="28"/>
          <w:szCs w:val="28"/>
          <w:u w:val="none"/>
          <w:shd w:fill="auto" w:val="clear"/>
          <w:vertAlign w:val="baseline"/>
        </w:rPr>
      </w:pPr>
      <w:r w:rsidDel="00000000" w:rsidR="00000000" w:rsidRPr="00000000">
        <w:rPr>
          <w:rFonts w:ascii="Liberation Serif" w:cs="Liberation Serif" w:eastAsia="Liberation Serif" w:hAnsi="Liberation Serif"/>
          <w:b w:val="1"/>
          <w:i w:val="0"/>
          <w:smallCaps w:val="0"/>
          <w:strike w:val="0"/>
          <w:color w:val="000000"/>
          <w:sz w:val="28"/>
          <w:szCs w:val="28"/>
          <w:u w:val="none"/>
          <w:shd w:fill="auto" w:val="clear"/>
          <w:vertAlign w:val="baseline"/>
          <w:rtl w:val="0"/>
        </w:rPr>
        <w:t xml:space="preserve">Our Commitment to Sustainability (ESG)</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Teval Elektroonika recognizes that long-term business success depends on responsible and sustainable operations. Our ESG (Environmental, Social, Governance) strategy encompasses environmental responsibility, social equity, and ethical governance to create a positive impact on both our business environment and society at large.</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We have set clear objectives to reduce our environmental footprint, ensure fair treatment of employees and partners, and uphold the highest ethical standards in our governance practices. Transparency and continuous development in ESG areas form the core values of our company.</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D">
      <w:pPr>
        <w:rPr/>
      </w:pPr>
      <w:r w:rsidDel="00000000" w:rsidR="00000000" w:rsidRPr="00000000">
        <w:rPr>
          <w:b w:val="1"/>
          <w:sz w:val="28"/>
          <w:szCs w:val="28"/>
          <w:highlight w:val="white"/>
          <w:rtl w:val="0"/>
        </w:rPr>
        <w:t xml:space="preserve">ESG Policy for Teval Elektroonika</w:t>
      </w:r>
      <w:r w:rsidDel="00000000" w:rsidR="00000000" w:rsidRPr="00000000">
        <w:rPr>
          <w:rtl w:val="0"/>
        </w:rPr>
      </w:r>
    </w:p>
    <w:p w:rsidR="00000000" w:rsidDel="00000000" w:rsidP="00000000" w:rsidRDefault="00000000" w:rsidRPr="00000000" w14:paraId="0000003E">
      <w:pPr>
        <w:rPr>
          <w:rFonts w:ascii="Liberation Serif" w:cs="Liberation Serif" w:eastAsia="Liberation Serif" w:hAnsi="Liberation Serif"/>
          <w:b w:val="1"/>
          <w:highlight w:val="yellow"/>
        </w:rPr>
      </w:pP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1"/>
          <w:i w:val="0"/>
          <w:smallCaps w:val="0"/>
          <w:strike w:val="0"/>
          <w:color w:val="000000"/>
          <w:sz w:val="24"/>
          <w:szCs w:val="24"/>
          <w:u w:val="none"/>
          <w:shd w:fill="auto" w:val="clear"/>
          <w:vertAlign w:val="baseline"/>
          <w:rtl w:val="0"/>
        </w:rPr>
        <w:t xml:space="preserve">Purpose:</w:t>
      </w: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br w:type="textWrapping"/>
        <w:t xml:space="preserve">This ESG policy outlines our commitment to sustainability, responsible business practices, and ethical supply chain management.</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Teval has chosen the path of striving toward being a sustainable company, keeping in mind, that a SME is not a subject to report according to ESG standard. (EU Corporate Sustainability Reporting Directive (CSRD) including the European Sustainability Reporting Standard ).</w:t>
      </w: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Following industry standards we are guided by the RBA</w:t>
      </w: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superscript"/>
        </w:rPr>
        <w:footnoteReference w:customMarkFollows="0" w:id="1"/>
      </w: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 recommendations with insights to improve the ESG topics. </w:t>
      </w: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3">
      <w:pPr>
        <w:pStyle w:val="Heading4"/>
        <w:ind w:left="0" w:firstLine="0"/>
        <w:rPr/>
      </w:pPr>
      <w:r w:rsidDel="00000000" w:rsidR="00000000" w:rsidRPr="00000000">
        <w:rPr>
          <w:b w:val="1"/>
          <w:rtl w:val="0"/>
        </w:rPr>
        <w:t xml:space="preserve">1. Environmental Responsibility</w:t>
      </w:r>
      <w:r w:rsidDel="00000000" w:rsidR="00000000" w:rsidRPr="00000000">
        <w:rPr>
          <w:rtl w:val="0"/>
        </w:rPr>
      </w:r>
    </w:p>
    <w:p w:rsidR="00000000" w:rsidDel="00000000" w:rsidP="00000000" w:rsidRDefault="00000000" w:rsidRPr="00000000" w14:paraId="00000044">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40" w:before="0" w:line="276" w:lineRule="auto"/>
        <w:ind w:left="720" w:right="0" w:hanging="36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1"/>
          <w:i w:val="0"/>
          <w:smallCaps w:val="0"/>
          <w:strike w:val="0"/>
          <w:color w:val="000000"/>
          <w:sz w:val="24"/>
          <w:szCs w:val="24"/>
          <w:u w:val="none"/>
          <w:shd w:fill="auto" w:val="clear"/>
          <w:vertAlign w:val="baseline"/>
          <w:rtl w:val="0"/>
        </w:rPr>
        <w:t xml:space="preserve">Reduce carbon emissions</w:t>
      </w: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 by optimizing transportation routes and using fuel-efficient vehicles according to our Environmental and Sustainable Procurement Policies.</w:t>
      </w:r>
    </w:p>
    <w:p w:rsidR="00000000" w:rsidDel="00000000" w:rsidP="00000000" w:rsidRDefault="00000000" w:rsidRPr="00000000" w14:paraId="00000045">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40" w:before="0" w:line="276" w:lineRule="auto"/>
        <w:ind w:left="720" w:right="0" w:hanging="36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1"/>
          <w:i w:val="0"/>
          <w:smallCaps w:val="0"/>
          <w:strike w:val="0"/>
          <w:color w:val="000000"/>
          <w:sz w:val="24"/>
          <w:szCs w:val="24"/>
          <w:u w:val="none"/>
          <w:shd w:fill="auto" w:val="clear"/>
          <w:vertAlign w:val="baseline"/>
          <w:rtl w:val="0"/>
        </w:rPr>
        <w:t xml:space="preserve">Minimize packaging waste</w:t>
      </w: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 by prioritizing recyclable and eco-friendly materials.</w:t>
      </w:r>
    </w:p>
    <w:p w:rsidR="00000000" w:rsidDel="00000000" w:rsidP="00000000" w:rsidRDefault="00000000" w:rsidRPr="00000000" w14:paraId="00000046">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40" w:before="0" w:line="276" w:lineRule="auto"/>
        <w:ind w:left="720" w:right="0" w:hanging="36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1"/>
          <w:i w:val="0"/>
          <w:smallCaps w:val="0"/>
          <w:strike w:val="0"/>
          <w:color w:val="000000"/>
          <w:sz w:val="24"/>
          <w:szCs w:val="24"/>
          <w:u w:val="none"/>
          <w:shd w:fill="auto" w:val="clear"/>
          <w:vertAlign w:val="baseline"/>
          <w:rtl w:val="0"/>
        </w:rPr>
        <w:t xml:space="preserve">Encourage suppliers</w:t>
      </w: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 to follow sustainable manufacturing and sourcing practices.</w:t>
      </w:r>
    </w:p>
    <w:p w:rsidR="00000000" w:rsidDel="00000000" w:rsidP="00000000" w:rsidRDefault="00000000" w:rsidRPr="00000000" w14:paraId="00000047">
      <w:pPr>
        <w:pStyle w:val="Heading4"/>
        <w:ind w:left="0" w:firstLine="0"/>
        <w:rPr/>
      </w:pPr>
      <w:r w:rsidDel="00000000" w:rsidR="00000000" w:rsidRPr="00000000">
        <w:rPr>
          <w:b w:val="1"/>
          <w:rtl w:val="0"/>
        </w:rPr>
        <w:t xml:space="preserve">2. Social Responsibility (Labor &amp; Human Rights)</w:t>
      </w:r>
      <w:r w:rsidDel="00000000" w:rsidR="00000000" w:rsidRPr="00000000">
        <w:rPr>
          <w:rtl w:val="0"/>
        </w:rPr>
      </w:r>
    </w:p>
    <w:p w:rsidR="00000000" w:rsidDel="00000000" w:rsidP="00000000" w:rsidRDefault="00000000" w:rsidRPr="00000000" w14:paraId="00000048">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40" w:before="0" w:line="276" w:lineRule="auto"/>
        <w:ind w:left="720" w:right="0" w:hanging="36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Ensure </w:t>
      </w:r>
      <w:r w:rsidDel="00000000" w:rsidR="00000000" w:rsidRPr="00000000">
        <w:rPr>
          <w:rFonts w:ascii="Liberation Serif" w:cs="Liberation Serif" w:eastAsia="Liberation Serif" w:hAnsi="Liberation Serif"/>
          <w:b w:val="1"/>
          <w:i w:val="0"/>
          <w:smallCaps w:val="0"/>
          <w:strike w:val="0"/>
          <w:color w:val="000000"/>
          <w:sz w:val="24"/>
          <w:szCs w:val="24"/>
          <w:u w:val="none"/>
          <w:shd w:fill="auto" w:val="clear"/>
          <w:vertAlign w:val="baseline"/>
          <w:rtl w:val="0"/>
        </w:rPr>
        <w:t xml:space="preserve">safe and fair working conditions</w:t>
      </w: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 for employees and logistics workers according to Teval Employee Handbook and Quality Handbook (ISO 9001).</w:t>
      </w:r>
    </w:p>
    <w:p w:rsidR="00000000" w:rsidDel="00000000" w:rsidP="00000000" w:rsidRDefault="00000000" w:rsidRPr="00000000" w14:paraId="00000049">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40" w:before="0" w:line="276" w:lineRule="auto"/>
        <w:ind w:left="720" w:right="0" w:hanging="36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Promote </w:t>
      </w:r>
      <w:r w:rsidDel="00000000" w:rsidR="00000000" w:rsidRPr="00000000">
        <w:rPr>
          <w:rFonts w:ascii="Liberation Serif" w:cs="Liberation Serif" w:eastAsia="Liberation Serif" w:hAnsi="Liberation Serif"/>
          <w:b w:val="1"/>
          <w:i w:val="0"/>
          <w:smallCaps w:val="0"/>
          <w:strike w:val="0"/>
          <w:color w:val="000000"/>
          <w:sz w:val="24"/>
          <w:szCs w:val="24"/>
          <w:u w:val="none"/>
          <w:shd w:fill="auto" w:val="clear"/>
          <w:vertAlign w:val="baseline"/>
          <w:rtl w:val="0"/>
        </w:rPr>
        <w:t xml:space="preserve">equal opportunities and diversity</w:t>
      </w: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 in hiring and workplace policies following our Employee  Handbook.</w:t>
      </w:r>
    </w:p>
    <w:p w:rsidR="00000000" w:rsidDel="00000000" w:rsidP="00000000" w:rsidRDefault="00000000" w:rsidRPr="00000000" w14:paraId="0000004A">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40" w:before="0" w:line="276" w:lineRule="auto"/>
        <w:ind w:left="720" w:right="0" w:hanging="36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Work only with suppliers that comply with </w:t>
      </w:r>
      <w:r w:rsidDel="00000000" w:rsidR="00000000" w:rsidRPr="00000000">
        <w:rPr>
          <w:rFonts w:ascii="Liberation Serif" w:cs="Liberation Serif" w:eastAsia="Liberation Serif" w:hAnsi="Liberation Serif"/>
          <w:b w:val="1"/>
          <w:i w:val="0"/>
          <w:smallCaps w:val="0"/>
          <w:strike w:val="0"/>
          <w:color w:val="000000"/>
          <w:sz w:val="24"/>
          <w:szCs w:val="24"/>
          <w:u w:val="none"/>
          <w:shd w:fill="auto" w:val="clear"/>
          <w:vertAlign w:val="baseline"/>
          <w:rtl w:val="0"/>
        </w:rPr>
        <w:t xml:space="preserve">labor laws and human rights standards </w:t>
      </w: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and accept our </w:t>
      </w:r>
      <w:r w:rsidDel="00000000" w:rsidR="00000000" w:rsidRPr="00000000">
        <w:rPr>
          <w:rFonts w:ascii="Liberation Serif" w:cs="Liberation Serif" w:eastAsia="Liberation Serif" w:hAnsi="Liberation Serif"/>
          <w:b w:val="1"/>
          <w:i w:val="0"/>
          <w:smallCaps w:val="0"/>
          <w:strike w:val="0"/>
          <w:color w:val="000000"/>
          <w:sz w:val="24"/>
          <w:szCs w:val="24"/>
          <w:u w:val="none"/>
          <w:shd w:fill="auto" w:val="clear"/>
          <w:vertAlign w:val="baseline"/>
          <w:rtl w:val="0"/>
        </w:rPr>
        <w:t xml:space="preserve">Code of Conduct.</w:t>
      </w:r>
      <w:r w:rsidDel="00000000" w:rsidR="00000000" w:rsidRPr="00000000">
        <w:rPr>
          <w:rtl w:val="0"/>
        </w:rPr>
      </w:r>
    </w:p>
    <w:p w:rsidR="00000000" w:rsidDel="00000000" w:rsidP="00000000" w:rsidRDefault="00000000" w:rsidRPr="00000000" w14:paraId="0000004B">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40" w:before="0" w:line="276" w:lineRule="auto"/>
        <w:ind w:left="720" w:right="0" w:hanging="36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Provide </w:t>
      </w:r>
      <w:r w:rsidDel="00000000" w:rsidR="00000000" w:rsidRPr="00000000">
        <w:rPr>
          <w:rFonts w:ascii="Liberation Serif" w:cs="Liberation Serif" w:eastAsia="Liberation Serif" w:hAnsi="Liberation Serif"/>
          <w:b w:val="1"/>
          <w:i w:val="0"/>
          <w:smallCaps w:val="0"/>
          <w:strike w:val="0"/>
          <w:color w:val="000000"/>
          <w:sz w:val="24"/>
          <w:szCs w:val="24"/>
          <w:u w:val="none"/>
          <w:shd w:fill="auto" w:val="clear"/>
          <w:vertAlign w:val="baseline"/>
          <w:rtl w:val="0"/>
        </w:rPr>
        <w:t xml:space="preserve">training on workplace safety and ethical business practices</w:t>
      </w: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4C">
      <w:pPr>
        <w:pStyle w:val="Heading4"/>
        <w:ind w:left="0" w:firstLine="0"/>
        <w:rPr/>
      </w:pPr>
      <w:r w:rsidDel="00000000" w:rsidR="00000000" w:rsidRPr="00000000">
        <w:rPr>
          <w:b w:val="1"/>
          <w:rtl w:val="0"/>
        </w:rPr>
        <w:t xml:space="preserve">3. Governance &amp; Ethical Business Practices</w:t>
      </w:r>
      <w:r w:rsidDel="00000000" w:rsidR="00000000" w:rsidRPr="00000000">
        <w:rPr>
          <w:rtl w:val="0"/>
        </w:rPr>
      </w:r>
    </w:p>
    <w:p w:rsidR="00000000" w:rsidDel="00000000" w:rsidP="00000000" w:rsidRDefault="00000000" w:rsidRPr="00000000" w14:paraId="0000004D">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140" w:before="0" w:line="276" w:lineRule="auto"/>
        <w:ind w:left="720" w:right="0" w:hanging="36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Maintain a </w:t>
      </w:r>
      <w:r w:rsidDel="00000000" w:rsidR="00000000" w:rsidRPr="00000000">
        <w:rPr>
          <w:rFonts w:ascii="Liberation Serif" w:cs="Liberation Serif" w:eastAsia="Liberation Serif" w:hAnsi="Liberation Serif"/>
          <w:b w:val="1"/>
          <w:i w:val="0"/>
          <w:smallCaps w:val="0"/>
          <w:strike w:val="0"/>
          <w:color w:val="000000"/>
          <w:sz w:val="24"/>
          <w:szCs w:val="24"/>
          <w:u w:val="none"/>
          <w:shd w:fill="auto" w:val="clear"/>
          <w:vertAlign w:val="baseline"/>
          <w:rtl w:val="0"/>
        </w:rPr>
        <w:t xml:space="preserve">zero-tolerance policy on bribery and corruption </w:t>
      </w: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set in our</w:t>
      </w:r>
      <w:r w:rsidDel="00000000" w:rsidR="00000000" w:rsidRPr="00000000">
        <w:rPr>
          <w:rFonts w:ascii="Liberation Serif" w:cs="Liberation Serif" w:eastAsia="Liberation Serif" w:hAnsi="Liberation Serif"/>
          <w:b w:val="1"/>
          <w:i w:val="0"/>
          <w:smallCaps w:val="0"/>
          <w:strike w:val="0"/>
          <w:color w:val="000000"/>
          <w:sz w:val="24"/>
          <w:szCs w:val="24"/>
          <w:u w:val="none"/>
          <w:shd w:fill="auto" w:val="clear"/>
          <w:vertAlign w:val="baseline"/>
          <w:rtl w:val="0"/>
        </w:rPr>
        <w:t xml:space="preserve"> </w:t>
      </w: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 Quality Handbook.</w:t>
      </w:r>
    </w:p>
    <w:p w:rsidR="00000000" w:rsidDel="00000000" w:rsidP="00000000" w:rsidRDefault="00000000" w:rsidRPr="00000000" w14:paraId="0000004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140" w:before="0" w:line="276" w:lineRule="auto"/>
        <w:ind w:left="720" w:right="0" w:hanging="36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Protect </w:t>
      </w:r>
      <w:r w:rsidDel="00000000" w:rsidR="00000000" w:rsidRPr="00000000">
        <w:rPr>
          <w:rFonts w:ascii="Liberation Serif" w:cs="Liberation Serif" w:eastAsia="Liberation Serif" w:hAnsi="Liberation Serif"/>
          <w:b w:val="1"/>
          <w:i w:val="0"/>
          <w:smallCaps w:val="0"/>
          <w:strike w:val="0"/>
          <w:color w:val="000000"/>
          <w:sz w:val="24"/>
          <w:szCs w:val="24"/>
          <w:u w:val="none"/>
          <w:shd w:fill="auto" w:val="clear"/>
          <w:vertAlign w:val="baseline"/>
          <w:rtl w:val="0"/>
        </w:rPr>
        <w:t xml:space="preserve">customer and supplier data</w:t>
      </w: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 in compliance with GDPR and other privacy laws. Privacy Policy is published on our web-page.</w:t>
      </w:r>
    </w:p>
    <w:p w:rsidR="00000000" w:rsidDel="00000000" w:rsidP="00000000" w:rsidRDefault="00000000" w:rsidRPr="00000000" w14:paraId="0000004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140" w:before="0" w:line="276" w:lineRule="auto"/>
        <w:ind w:left="720" w:right="0" w:hanging="36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Ensure that all suppliers adhere to </w:t>
      </w:r>
      <w:r w:rsidDel="00000000" w:rsidR="00000000" w:rsidRPr="00000000">
        <w:rPr>
          <w:rFonts w:ascii="Liberation Serif" w:cs="Liberation Serif" w:eastAsia="Liberation Serif" w:hAnsi="Liberation Serif"/>
          <w:b w:val="1"/>
          <w:i w:val="0"/>
          <w:smallCaps w:val="0"/>
          <w:strike w:val="0"/>
          <w:color w:val="000000"/>
          <w:sz w:val="24"/>
          <w:szCs w:val="24"/>
          <w:u w:val="none"/>
          <w:shd w:fill="auto" w:val="clear"/>
          <w:vertAlign w:val="baseline"/>
          <w:rtl w:val="0"/>
        </w:rPr>
        <w:t xml:space="preserve">ethical sourcing policies</w:t>
      </w: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 and avoid conflict minerals.</w:t>
      </w:r>
    </w:p>
    <w:p w:rsidR="00000000" w:rsidDel="00000000" w:rsidP="00000000" w:rsidRDefault="00000000" w:rsidRPr="00000000" w14:paraId="00000050">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140" w:before="0" w:line="276" w:lineRule="auto"/>
        <w:ind w:left="720" w:right="0" w:hanging="36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Conduct regular </w:t>
      </w:r>
      <w:r w:rsidDel="00000000" w:rsidR="00000000" w:rsidRPr="00000000">
        <w:rPr>
          <w:rFonts w:ascii="Liberation Serif" w:cs="Liberation Serif" w:eastAsia="Liberation Serif" w:hAnsi="Liberation Serif"/>
          <w:b w:val="1"/>
          <w:i w:val="0"/>
          <w:smallCaps w:val="0"/>
          <w:strike w:val="0"/>
          <w:color w:val="000000"/>
          <w:sz w:val="24"/>
          <w:szCs w:val="24"/>
          <w:u w:val="none"/>
          <w:shd w:fill="auto" w:val="clear"/>
          <w:vertAlign w:val="baseline"/>
          <w:rtl w:val="0"/>
        </w:rPr>
        <w:t xml:space="preserve">internal reviews</w:t>
      </w: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 to improve ESG performance.</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Liberation Serif" w:cs="Liberation Serif" w:eastAsia="Liberation Serif" w:hAnsi="Liberation Serif"/>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Liberation Serif" w:cs="Liberation Serif" w:eastAsia="Liberation Serif" w:hAnsi="Liberation Serif"/>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Liberation Serif" w:cs="Liberation Serif" w:eastAsia="Liberation Serif" w:hAnsi="Liberation Serif"/>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4">
      <w:pPr>
        <w:pStyle w:val="Heading3"/>
        <w:spacing w:after="120" w:before="140" w:lineRule="auto"/>
        <w:ind w:left="0" w:firstLine="0"/>
        <w:rPr/>
      </w:pPr>
      <w:r w:rsidDel="00000000" w:rsidR="00000000" w:rsidRPr="00000000">
        <w:rPr>
          <w:b w:val="1"/>
          <w:rtl w:val="0"/>
        </w:rPr>
        <w:t xml:space="preserve">Supplier Code of Conduct</w:t>
      </w: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1"/>
          <w:i w:val="0"/>
          <w:smallCaps w:val="0"/>
          <w:strike w:val="0"/>
          <w:color w:val="000000"/>
          <w:sz w:val="24"/>
          <w:szCs w:val="24"/>
          <w:u w:val="none"/>
          <w:shd w:fill="auto" w:val="clear"/>
          <w:vertAlign w:val="baseline"/>
          <w:rtl w:val="0"/>
        </w:rPr>
        <w:t xml:space="preserve">Purpose:</w:t>
      </w: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br w:type="textWrapping"/>
        <w:t xml:space="preserve">This document sets out the ethical, environmental and social standards expected from all suppliers of Teval Elektroonika.</w:t>
      </w:r>
    </w:p>
    <w:p w:rsidR="00000000" w:rsidDel="00000000" w:rsidP="00000000" w:rsidRDefault="00000000" w:rsidRPr="00000000" w14:paraId="00000056">
      <w:pPr>
        <w:pStyle w:val="Heading4"/>
        <w:ind w:left="0" w:firstLine="0"/>
        <w:rPr/>
      </w:pPr>
      <w:r w:rsidDel="00000000" w:rsidR="00000000" w:rsidRPr="00000000">
        <w:rPr>
          <w:b w:val="1"/>
          <w:rtl w:val="0"/>
        </w:rPr>
        <w:t xml:space="preserve">1. Compliance with Laws &amp; Regulations</w:t>
      </w:r>
      <w:r w:rsidDel="00000000" w:rsidR="00000000" w:rsidRPr="00000000">
        <w:rPr>
          <w:rtl w:val="0"/>
        </w:rPr>
      </w:r>
    </w:p>
    <w:p w:rsidR="00000000" w:rsidDel="00000000" w:rsidP="00000000" w:rsidRDefault="00000000" w:rsidRPr="00000000" w14:paraId="00000057">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tabs>
          <w:tab w:val="left" w:leader="none" w:pos="1418"/>
        </w:tabs>
        <w:spacing w:after="0" w:before="0" w:line="276" w:lineRule="auto"/>
        <w:ind w:left="709" w:right="0" w:hanging="283"/>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Suppliers must comply with all applicable </w:t>
      </w:r>
      <w:r w:rsidDel="00000000" w:rsidR="00000000" w:rsidRPr="00000000">
        <w:rPr>
          <w:rFonts w:ascii="Liberation Serif" w:cs="Liberation Serif" w:eastAsia="Liberation Serif" w:hAnsi="Liberation Serif"/>
          <w:b w:val="1"/>
          <w:i w:val="0"/>
          <w:smallCaps w:val="0"/>
          <w:strike w:val="0"/>
          <w:color w:val="000000"/>
          <w:sz w:val="24"/>
          <w:szCs w:val="24"/>
          <w:u w:val="none"/>
          <w:shd w:fill="auto" w:val="clear"/>
          <w:vertAlign w:val="baseline"/>
          <w:rtl w:val="0"/>
        </w:rPr>
        <w:t xml:space="preserve">local, national, and international laws</w:t>
      </w: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 related to labor, environmental protection, and fair trade.</w:t>
      </w:r>
    </w:p>
    <w:p w:rsidR="00000000" w:rsidDel="00000000" w:rsidP="00000000" w:rsidRDefault="00000000" w:rsidRPr="00000000" w14:paraId="00000058">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tabs>
          <w:tab w:val="left" w:leader="none" w:pos="1418"/>
        </w:tabs>
        <w:spacing w:after="140" w:before="0" w:line="276" w:lineRule="auto"/>
        <w:ind w:left="709" w:right="0" w:hanging="283"/>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All electronic components must adhere to </w:t>
      </w:r>
      <w:r w:rsidDel="00000000" w:rsidR="00000000" w:rsidRPr="00000000">
        <w:rPr>
          <w:rFonts w:ascii="Liberation Serif" w:cs="Liberation Serif" w:eastAsia="Liberation Serif" w:hAnsi="Liberation Serif"/>
          <w:b w:val="1"/>
          <w:i w:val="0"/>
          <w:smallCaps w:val="0"/>
          <w:strike w:val="0"/>
          <w:color w:val="000000"/>
          <w:sz w:val="24"/>
          <w:szCs w:val="24"/>
          <w:u w:val="none"/>
          <w:shd w:fill="auto" w:val="clear"/>
          <w:vertAlign w:val="baseline"/>
          <w:rtl w:val="0"/>
        </w:rPr>
        <w:t xml:space="preserve">EU RoHS (Restriction of Hazardous Substances) regulations</w:t>
      </w: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59">
      <w:pPr>
        <w:pStyle w:val="Heading4"/>
        <w:ind w:left="0" w:firstLine="0"/>
        <w:rPr/>
      </w:pPr>
      <w:r w:rsidDel="00000000" w:rsidR="00000000" w:rsidRPr="00000000">
        <w:rPr>
          <w:b w:val="1"/>
          <w:rtl w:val="0"/>
        </w:rPr>
        <w:t xml:space="preserve">2. Environmental Responsibility</w:t>
      </w:r>
      <w:r w:rsidDel="00000000" w:rsidR="00000000" w:rsidRPr="00000000">
        <w:rPr>
          <w:rtl w:val="0"/>
        </w:rPr>
      </w:r>
    </w:p>
    <w:p w:rsidR="00000000" w:rsidDel="00000000" w:rsidP="00000000" w:rsidRDefault="00000000" w:rsidRPr="00000000" w14:paraId="0000005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tabs>
          <w:tab w:val="left" w:leader="none" w:pos="1418"/>
        </w:tabs>
        <w:spacing w:after="0" w:before="0" w:line="276" w:lineRule="auto"/>
        <w:ind w:left="709" w:right="0" w:hanging="283"/>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Suppliers are encouraged to minimize </w:t>
      </w:r>
      <w:r w:rsidDel="00000000" w:rsidR="00000000" w:rsidRPr="00000000">
        <w:rPr>
          <w:rFonts w:ascii="Liberation Serif" w:cs="Liberation Serif" w:eastAsia="Liberation Serif" w:hAnsi="Liberation Serif"/>
          <w:b w:val="1"/>
          <w:i w:val="0"/>
          <w:smallCaps w:val="0"/>
          <w:strike w:val="0"/>
          <w:color w:val="000000"/>
          <w:sz w:val="24"/>
          <w:szCs w:val="24"/>
          <w:u w:val="none"/>
          <w:shd w:fill="auto" w:val="clear"/>
          <w:vertAlign w:val="baseline"/>
          <w:rtl w:val="0"/>
        </w:rPr>
        <w:t xml:space="preserve">carbon footprint, waste, and energy consumption</w:t>
      </w: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 in manufacturing and logistics.</w:t>
      </w:r>
    </w:p>
    <w:p w:rsidR="00000000" w:rsidDel="00000000" w:rsidP="00000000" w:rsidRDefault="00000000" w:rsidRPr="00000000" w14:paraId="0000005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tabs>
          <w:tab w:val="left" w:leader="none" w:pos="1418"/>
        </w:tabs>
        <w:spacing w:after="0" w:before="0" w:line="276" w:lineRule="auto"/>
        <w:ind w:left="709" w:right="0" w:hanging="283"/>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Use of </w:t>
      </w:r>
      <w:r w:rsidDel="00000000" w:rsidR="00000000" w:rsidRPr="00000000">
        <w:rPr>
          <w:rFonts w:ascii="Liberation Serif" w:cs="Liberation Serif" w:eastAsia="Liberation Serif" w:hAnsi="Liberation Serif"/>
          <w:b w:val="1"/>
          <w:i w:val="0"/>
          <w:smallCaps w:val="0"/>
          <w:strike w:val="0"/>
          <w:color w:val="000000"/>
          <w:sz w:val="24"/>
          <w:szCs w:val="24"/>
          <w:u w:val="none"/>
          <w:shd w:fill="auto" w:val="clear"/>
          <w:vertAlign w:val="baseline"/>
          <w:rtl w:val="0"/>
        </w:rPr>
        <w:t xml:space="preserve">eco-friendly packaging</w:t>
      </w: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 (recyclable materials, reduced plastic) is encouraged.</w:t>
      </w:r>
    </w:p>
    <w:p w:rsidR="00000000" w:rsidDel="00000000" w:rsidP="00000000" w:rsidRDefault="00000000" w:rsidRPr="00000000" w14:paraId="0000005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tabs>
          <w:tab w:val="left" w:leader="none" w:pos="1418"/>
        </w:tabs>
        <w:spacing w:after="140" w:before="0" w:line="276" w:lineRule="auto"/>
        <w:ind w:left="709" w:right="0" w:hanging="283"/>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Proper disposal and recycling of </w:t>
      </w:r>
      <w:r w:rsidDel="00000000" w:rsidR="00000000" w:rsidRPr="00000000">
        <w:rPr>
          <w:rFonts w:ascii="Liberation Serif" w:cs="Liberation Serif" w:eastAsia="Liberation Serif" w:hAnsi="Liberation Serif"/>
          <w:b w:val="1"/>
          <w:i w:val="0"/>
          <w:smallCaps w:val="0"/>
          <w:strike w:val="0"/>
          <w:color w:val="000000"/>
          <w:sz w:val="24"/>
          <w:szCs w:val="24"/>
          <w:u w:val="none"/>
          <w:shd w:fill="auto" w:val="clear"/>
          <w:vertAlign w:val="baseline"/>
          <w:rtl w:val="0"/>
        </w:rPr>
        <w:t xml:space="preserve">waste</w:t>
      </w: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 are required.</w:t>
      </w:r>
    </w:p>
    <w:p w:rsidR="00000000" w:rsidDel="00000000" w:rsidP="00000000" w:rsidRDefault="00000000" w:rsidRPr="00000000" w14:paraId="0000005D">
      <w:pPr>
        <w:pStyle w:val="Heading4"/>
        <w:ind w:left="0" w:firstLine="0"/>
        <w:rPr/>
      </w:pPr>
      <w:r w:rsidDel="00000000" w:rsidR="00000000" w:rsidRPr="00000000">
        <w:rPr>
          <w:b w:val="1"/>
          <w:rtl w:val="0"/>
        </w:rPr>
        <w:t xml:space="preserve">3. Labor &amp; Human Rights</w:t>
      </w:r>
      <w:r w:rsidDel="00000000" w:rsidR="00000000" w:rsidRPr="00000000">
        <w:rPr>
          <w:rtl w:val="0"/>
        </w:rPr>
      </w:r>
    </w:p>
    <w:p w:rsidR="00000000" w:rsidDel="00000000" w:rsidP="00000000" w:rsidRDefault="00000000" w:rsidRPr="00000000" w14:paraId="0000005E">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tabs>
          <w:tab w:val="left" w:leader="none" w:pos="1418"/>
        </w:tabs>
        <w:spacing w:after="0" w:before="0" w:line="276" w:lineRule="auto"/>
        <w:ind w:left="709" w:right="0" w:hanging="283"/>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No </w:t>
      </w:r>
      <w:r w:rsidDel="00000000" w:rsidR="00000000" w:rsidRPr="00000000">
        <w:rPr>
          <w:rFonts w:ascii="Liberation Serif" w:cs="Liberation Serif" w:eastAsia="Liberation Serif" w:hAnsi="Liberation Serif"/>
          <w:b w:val="1"/>
          <w:i w:val="0"/>
          <w:smallCaps w:val="0"/>
          <w:strike w:val="0"/>
          <w:color w:val="000000"/>
          <w:sz w:val="24"/>
          <w:szCs w:val="24"/>
          <w:u w:val="none"/>
          <w:shd w:fill="auto" w:val="clear"/>
          <w:vertAlign w:val="baseline"/>
          <w:rtl w:val="0"/>
        </w:rPr>
        <w:t xml:space="preserve">child labor</w:t>
      </w: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 or </w:t>
      </w:r>
      <w:r w:rsidDel="00000000" w:rsidR="00000000" w:rsidRPr="00000000">
        <w:rPr>
          <w:rFonts w:ascii="Liberation Serif" w:cs="Liberation Serif" w:eastAsia="Liberation Serif" w:hAnsi="Liberation Serif"/>
          <w:b w:val="1"/>
          <w:i w:val="0"/>
          <w:smallCaps w:val="0"/>
          <w:strike w:val="0"/>
          <w:color w:val="000000"/>
          <w:sz w:val="24"/>
          <w:szCs w:val="24"/>
          <w:u w:val="none"/>
          <w:shd w:fill="auto" w:val="clear"/>
          <w:vertAlign w:val="baseline"/>
          <w:rtl w:val="0"/>
        </w:rPr>
        <w:t xml:space="preserve">forced labor</w:t>
      </w: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 is permitted at any stage of production or supply.</w:t>
      </w:r>
    </w:p>
    <w:p w:rsidR="00000000" w:rsidDel="00000000" w:rsidP="00000000" w:rsidRDefault="00000000" w:rsidRPr="00000000" w14:paraId="0000005F">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tabs>
          <w:tab w:val="left" w:leader="none" w:pos="1418"/>
        </w:tabs>
        <w:spacing w:after="0" w:before="0" w:line="276" w:lineRule="auto"/>
        <w:ind w:left="709" w:right="0" w:hanging="283"/>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Fair wages and </w:t>
      </w:r>
      <w:r w:rsidDel="00000000" w:rsidR="00000000" w:rsidRPr="00000000">
        <w:rPr>
          <w:rFonts w:ascii="Liberation Serif" w:cs="Liberation Serif" w:eastAsia="Liberation Serif" w:hAnsi="Liberation Serif"/>
          <w:b w:val="1"/>
          <w:i w:val="0"/>
          <w:smallCaps w:val="0"/>
          <w:strike w:val="0"/>
          <w:color w:val="000000"/>
          <w:sz w:val="24"/>
          <w:szCs w:val="24"/>
          <w:u w:val="none"/>
          <w:shd w:fill="auto" w:val="clear"/>
          <w:vertAlign w:val="baseline"/>
          <w:rtl w:val="0"/>
        </w:rPr>
        <w:t xml:space="preserve">safe working conditions</w:t>
      </w: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 must be ensured for all employees.</w:t>
      </w:r>
    </w:p>
    <w:p w:rsidR="00000000" w:rsidDel="00000000" w:rsidP="00000000" w:rsidRDefault="00000000" w:rsidRPr="00000000" w14:paraId="00000060">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tabs>
          <w:tab w:val="left" w:leader="none" w:pos="1418"/>
        </w:tabs>
        <w:spacing w:after="140" w:before="0" w:line="276" w:lineRule="auto"/>
        <w:ind w:left="709" w:right="0" w:hanging="283"/>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Suppliers must </w:t>
      </w:r>
      <w:r w:rsidDel="00000000" w:rsidR="00000000" w:rsidRPr="00000000">
        <w:rPr>
          <w:rFonts w:ascii="Liberation Serif" w:cs="Liberation Serif" w:eastAsia="Liberation Serif" w:hAnsi="Liberation Serif"/>
          <w:b w:val="1"/>
          <w:i w:val="0"/>
          <w:smallCaps w:val="0"/>
          <w:strike w:val="0"/>
          <w:color w:val="000000"/>
          <w:sz w:val="24"/>
          <w:szCs w:val="24"/>
          <w:u w:val="none"/>
          <w:shd w:fill="auto" w:val="clear"/>
          <w:vertAlign w:val="baseline"/>
          <w:rtl w:val="0"/>
        </w:rPr>
        <w:t xml:space="preserve">prevent workplace discrimination</w:t>
      </w: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 and ensure equal opportunities for all employees.</w:t>
      </w:r>
    </w:p>
    <w:p w:rsidR="00000000" w:rsidDel="00000000" w:rsidP="00000000" w:rsidRDefault="00000000" w:rsidRPr="00000000" w14:paraId="00000061">
      <w:pPr>
        <w:pStyle w:val="Heading4"/>
        <w:ind w:left="0" w:firstLine="0"/>
        <w:rPr/>
      </w:pPr>
      <w:r w:rsidDel="00000000" w:rsidR="00000000" w:rsidRPr="00000000">
        <w:rPr>
          <w:b w:val="1"/>
          <w:rtl w:val="0"/>
        </w:rPr>
        <w:t xml:space="preserve">4. Ethical Business Practices</w:t>
      </w:r>
      <w:r w:rsidDel="00000000" w:rsidR="00000000" w:rsidRPr="00000000">
        <w:rPr>
          <w:rtl w:val="0"/>
        </w:rPr>
      </w:r>
    </w:p>
    <w:p w:rsidR="00000000" w:rsidDel="00000000" w:rsidP="00000000" w:rsidRDefault="00000000" w:rsidRPr="00000000" w14:paraId="00000062">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tabs>
          <w:tab w:val="left" w:leader="none" w:pos="1418"/>
        </w:tabs>
        <w:spacing w:after="0" w:before="0" w:line="276" w:lineRule="auto"/>
        <w:ind w:left="709" w:right="0" w:hanging="283"/>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1"/>
          <w:i w:val="0"/>
          <w:smallCaps w:val="0"/>
          <w:strike w:val="0"/>
          <w:color w:val="000000"/>
          <w:sz w:val="24"/>
          <w:szCs w:val="24"/>
          <w:u w:val="none"/>
          <w:shd w:fill="auto" w:val="clear"/>
          <w:vertAlign w:val="baseline"/>
          <w:rtl w:val="0"/>
        </w:rPr>
        <w:t xml:space="preserve">No bribery, corruption, or fraudulent activities</w:t>
      </w: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 are allowed.</w:t>
      </w:r>
    </w:p>
    <w:p w:rsidR="00000000" w:rsidDel="00000000" w:rsidP="00000000" w:rsidRDefault="00000000" w:rsidRPr="00000000" w14:paraId="0000006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tabs>
          <w:tab w:val="left" w:leader="none" w:pos="1418"/>
        </w:tabs>
        <w:spacing w:after="0" w:before="0" w:line="276" w:lineRule="auto"/>
        <w:ind w:left="709" w:right="0" w:hanging="283"/>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Suppliers must respect intellectual property rights and </w:t>
      </w:r>
      <w:r w:rsidDel="00000000" w:rsidR="00000000" w:rsidRPr="00000000">
        <w:rPr>
          <w:rFonts w:ascii="Liberation Serif" w:cs="Liberation Serif" w:eastAsia="Liberation Serif" w:hAnsi="Liberation Serif"/>
          <w:b w:val="1"/>
          <w:i w:val="0"/>
          <w:smallCaps w:val="0"/>
          <w:strike w:val="0"/>
          <w:color w:val="000000"/>
          <w:sz w:val="24"/>
          <w:szCs w:val="24"/>
          <w:u w:val="none"/>
          <w:shd w:fill="auto" w:val="clear"/>
          <w:vertAlign w:val="baseline"/>
          <w:rtl w:val="0"/>
        </w:rPr>
        <w:t xml:space="preserve">protect customer data</w:t>
      </w: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18"/>
        </w:tabs>
        <w:spacing w:after="140" w:before="0" w:line="276" w:lineRule="auto"/>
        <w:ind w:left="709" w:right="0" w:firstLine="0"/>
        <w:jc w:val="left"/>
        <w:rPr>
          <w:rFonts w:ascii="Liberation Serif" w:cs="Liberation Serif" w:eastAsia="Liberation Serif" w:hAnsi="Liberation Serif"/>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5">
      <w:pPr>
        <w:pStyle w:val="Heading4"/>
        <w:ind w:left="0" w:firstLine="0"/>
        <w:rPr/>
      </w:pPr>
      <w:r w:rsidDel="00000000" w:rsidR="00000000" w:rsidRPr="00000000">
        <w:rPr>
          <w:b w:val="1"/>
          <w:rtl w:val="0"/>
        </w:rPr>
        <w:t xml:space="preserve">5. Supply Chain Transparency</w:t>
      </w:r>
      <w:r w:rsidDel="00000000" w:rsidR="00000000" w:rsidRPr="00000000">
        <w:rPr>
          <w:rtl w:val="0"/>
        </w:rPr>
      </w:r>
    </w:p>
    <w:p w:rsidR="00000000" w:rsidDel="00000000" w:rsidP="00000000" w:rsidRDefault="00000000" w:rsidRPr="00000000" w14:paraId="00000066">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tabs>
          <w:tab w:val="left" w:leader="none" w:pos="1418"/>
        </w:tabs>
        <w:spacing w:after="0" w:before="0" w:line="276" w:lineRule="auto"/>
        <w:ind w:left="709" w:right="0" w:hanging="283"/>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Suppliers must </w:t>
      </w:r>
      <w:r w:rsidDel="00000000" w:rsidR="00000000" w:rsidRPr="00000000">
        <w:rPr>
          <w:rFonts w:ascii="Liberation Serif" w:cs="Liberation Serif" w:eastAsia="Liberation Serif" w:hAnsi="Liberation Serif"/>
          <w:b w:val="1"/>
          <w:i w:val="0"/>
          <w:smallCaps w:val="0"/>
          <w:strike w:val="0"/>
          <w:color w:val="000000"/>
          <w:sz w:val="24"/>
          <w:szCs w:val="24"/>
          <w:u w:val="none"/>
          <w:shd w:fill="auto" w:val="clear"/>
          <w:vertAlign w:val="baseline"/>
          <w:rtl w:val="0"/>
        </w:rPr>
        <w:t xml:space="preserve">monitor their own suppliers</w:t>
      </w: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 and ensure they also comply with ethical and environmental standards.</w:t>
      </w:r>
    </w:p>
    <w:p w:rsidR="00000000" w:rsidDel="00000000" w:rsidP="00000000" w:rsidRDefault="00000000" w:rsidRPr="00000000" w14:paraId="00000067">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tabs>
          <w:tab w:val="left" w:leader="none" w:pos="1418"/>
        </w:tabs>
        <w:spacing w:after="140" w:before="0" w:line="276" w:lineRule="auto"/>
        <w:ind w:left="709" w:right="0" w:hanging="283"/>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Upon request, suppliers must provide </w:t>
      </w:r>
      <w:r w:rsidDel="00000000" w:rsidR="00000000" w:rsidRPr="00000000">
        <w:rPr>
          <w:rFonts w:ascii="Liberation Serif" w:cs="Liberation Serif" w:eastAsia="Liberation Serif" w:hAnsi="Liberation Serif"/>
          <w:b w:val="1"/>
          <w:i w:val="0"/>
          <w:smallCaps w:val="0"/>
          <w:strike w:val="0"/>
          <w:color w:val="000000"/>
          <w:sz w:val="24"/>
          <w:szCs w:val="24"/>
          <w:u w:val="none"/>
          <w:shd w:fill="auto" w:val="clear"/>
          <w:vertAlign w:val="baseline"/>
          <w:rtl w:val="0"/>
        </w:rPr>
        <w:t xml:space="preserve">documentation proving compliance</w:t>
      </w: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 with sustainability requirements.</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1"/>
          <w:i w:val="0"/>
          <w:smallCaps w:val="0"/>
          <w:strike w:val="0"/>
          <w:color w:val="000000"/>
          <w:sz w:val="24"/>
          <w:szCs w:val="24"/>
          <w:u w:val="none"/>
          <w:shd w:fill="auto" w:val="clear"/>
          <w:vertAlign w:val="baseline"/>
          <w:rtl w:val="0"/>
        </w:rPr>
        <w:t xml:space="preserve">Agreement:</w:t>
      </w: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br w:type="textWrapping"/>
        <w:t xml:space="preserve">By signing below, the supplier confirms that they have read and agree to comply with the standards outlined in this Supplier Code of Conduct.</w:t>
      </w:r>
    </w:p>
    <w:sectPr>
      <w:pgSz w:h="16838" w:w="11906" w:orient="portrait"/>
      <w:pgMar w:bottom="1134" w:top="1134" w:left="1134" w:right="1134"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Noto Sans Symbols">
    <w:embedRegular w:fontKey="{00000000-0000-0000-0000-000000000000}" r:id="rId1" w:subsetted="0"/>
    <w:embedBold w:fontKey="{00000000-0000-0000-0000-000000000000}" r:id="rId2" w:subsetted="0"/>
  </w:font>
  <w:font w:name="Liberation Serif"/>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340" w:right="0" w:hanging="340"/>
        <w:jc w:val="left"/>
        <w:rPr>
          <w:rFonts w:ascii="Liberation Serif" w:cs="Liberation Serif" w:eastAsia="Liberation Serif" w:hAnsi="Liberation Serif"/>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hyperlink r:id="rId1">
        <w:r w:rsidDel="00000000" w:rsidR="00000000" w:rsidRPr="00000000">
          <w:rPr>
            <w:rFonts w:ascii="Liberation Serif" w:cs="Liberation Serif" w:eastAsia="Liberation Serif" w:hAnsi="Liberation Serif"/>
            <w:b w:val="0"/>
            <w:i w:val="0"/>
            <w:smallCaps w:val="0"/>
            <w:strike w:val="0"/>
            <w:color w:val="000080"/>
            <w:sz w:val="20"/>
            <w:szCs w:val="20"/>
            <w:u w:val="single"/>
            <w:shd w:fill="auto" w:val="clear"/>
            <w:vertAlign w:val="baseline"/>
            <w:rtl w:val="0"/>
          </w:rPr>
          <w:tab/>
          <w:t xml:space="preserve">https://www.responsiblebusiness.org/media/docs/RBACodeofConduct8.0_English.pdf</w:t>
        </w:r>
      </w:hyperlink>
      <w:r w:rsidDel="00000000" w:rsidR="00000000" w:rsidRPr="00000000">
        <w:rPr>
          <w:rtl w:val="0"/>
        </w:rPr>
      </w:r>
    </w:p>
  </w:footnote>
  <w:footnote w:id="1">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40"/>
        <w:jc w:val="left"/>
        <w:rPr>
          <w:rFonts w:ascii="Liberation Serif" w:cs="Liberation Serif" w:eastAsia="Liberation Serif" w:hAnsi="Liberation Serif"/>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hyperlink r:id="rId2">
        <w:r w:rsidDel="00000000" w:rsidR="00000000" w:rsidRPr="00000000">
          <w:rPr>
            <w:rFonts w:ascii="Liberation Serif" w:cs="Liberation Serif" w:eastAsia="Liberation Serif" w:hAnsi="Liberation Serif"/>
            <w:b w:val="0"/>
            <w:i w:val="0"/>
            <w:smallCaps w:val="0"/>
            <w:strike w:val="0"/>
            <w:color w:val="000080"/>
            <w:sz w:val="20"/>
            <w:szCs w:val="20"/>
            <w:u w:val="single"/>
            <w:shd w:fill="auto" w:val="clear"/>
            <w:vertAlign w:val="baseline"/>
            <w:rtl w:val="0"/>
          </w:rPr>
          <w:tab/>
          <w:t xml:space="preserve">https://www.responsiblebusiness.org/media/docs/RBACodeofConduct8.0_English.pdf</w:t>
        </w:r>
      </w:hyperlink>
      <w:r w:rsidDel="00000000" w:rsidR="00000000" w:rsidRPr="00000000">
        <w:rPr>
          <w:rtl w:val="0"/>
        </w:rPr>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080" w:hanging="360"/>
      </w:pPr>
      <w:rPr>
        <w:rFonts w:ascii="Noto Sans Symbols" w:cs="Noto Sans Symbols" w:eastAsia="Noto Sans Symbols" w:hAnsi="Noto Sans Symbols"/>
      </w:rPr>
    </w:lvl>
    <w:lvl w:ilvl="2">
      <w:start w:val="1"/>
      <w:numFmt w:val="bullet"/>
      <w:lvlText w:val="▪"/>
      <w:lvlJc w:val="left"/>
      <w:pPr>
        <w:ind w:left="1440" w:hanging="360"/>
      </w:pPr>
      <w:rPr>
        <w:rFonts w:ascii="Noto Sans Symbols" w:cs="Noto Sans Symbols" w:eastAsia="Noto Sans Symbols" w:hAnsi="Noto Sans Symbols"/>
      </w:rPr>
    </w:lvl>
    <w:lvl w:ilvl="3">
      <w:start w:val="1"/>
      <w:numFmt w:val="bullet"/>
      <w:lvlText w:val="●"/>
      <w:lvlJc w:val="left"/>
      <w:pPr>
        <w:ind w:left="1800" w:hanging="360"/>
      </w:pPr>
      <w:rPr>
        <w:rFonts w:ascii="Noto Sans Symbols" w:cs="Noto Sans Symbols" w:eastAsia="Noto Sans Symbols" w:hAnsi="Noto Sans Symbols"/>
      </w:rPr>
    </w:lvl>
    <w:lvl w:ilvl="4">
      <w:start w:val="1"/>
      <w:numFmt w:val="bullet"/>
      <w:lvlText w:val="◦"/>
      <w:lvlJc w:val="left"/>
      <w:pPr>
        <w:ind w:left="2160" w:hanging="360"/>
      </w:pPr>
      <w:rPr>
        <w:rFonts w:ascii="Noto Sans Symbols" w:cs="Noto Sans Symbols" w:eastAsia="Noto Sans Symbols" w:hAnsi="Noto Sans Symbols"/>
      </w:rPr>
    </w:lvl>
    <w:lvl w:ilvl="5">
      <w:start w:val="1"/>
      <w:numFmt w:val="bullet"/>
      <w:lvlText w:val="▪"/>
      <w:lvlJc w:val="left"/>
      <w:pPr>
        <w:ind w:left="2520" w:hanging="360"/>
      </w:pPr>
      <w:rPr>
        <w:rFonts w:ascii="Noto Sans Symbols" w:cs="Noto Sans Symbols" w:eastAsia="Noto Sans Symbols" w:hAnsi="Noto Sans Symbols"/>
      </w:rPr>
    </w:lvl>
    <w:lvl w:ilvl="6">
      <w:start w:val="1"/>
      <w:numFmt w:val="bullet"/>
      <w:lvlText w:val="●"/>
      <w:lvlJc w:val="left"/>
      <w:pPr>
        <w:ind w:left="2880" w:hanging="360"/>
      </w:pPr>
      <w:rPr>
        <w:rFonts w:ascii="Noto Sans Symbols" w:cs="Noto Sans Symbols" w:eastAsia="Noto Sans Symbols" w:hAnsi="Noto Sans Symbols"/>
      </w:rPr>
    </w:lvl>
    <w:lvl w:ilvl="7">
      <w:start w:val="1"/>
      <w:numFmt w:val="bullet"/>
      <w:lvlText w:val="◦"/>
      <w:lvlJc w:val="left"/>
      <w:pPr>
        <w:ind w:left="3240" w:hanging="360"/>
      </w:pPr>
      <w:rPr>
        <w:rFonts w:ascii="Noto Sans Symbols" w:cs="Noto Sans Symbols" w:eastAsia="Noto Sans Symbols" w:hAnsi="Noto Sans Symbols"/>
      </w:rPr>
    </w:lvl>
    <w:lvl w:ilvl="8">
      <w:start w:val="1"/>
      <w:numFmt w:val="bullet"/>
      <w:lvlText w:val="▪"/>
      <w:lvlJc w:val="left"/>
      <w:pPr>
        <w:ind w:left="360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080" w:hanging="360"/>
      </w:pPr>
      <w:rPr>
        <w:rFonts w:ascii="Noto Sans Symbols" w:cs="Noto Sans Symbols" w:eastAsia="Noto Sans Symbols" w:hAnsi="Noto Sans Symbols"/>
      </w:rPr>
    </w:lvl>
    <w:lvl w:ilvl="2">
      <w:start w:val="1"/>
      <w:numFmt w:val="bullet"/>
      <w:lvlText w:val="▪"/>
      <w:lvlJc w:val="left"/>
      <w:pPr>
        <w:ind w:left="1440" w:hanging="360"/>
      </w:pPr>
      <w:rPr>
        <w:rFonts w:ascii="Noto Sans Symbols" w:cs="Noto Sans Symbols" w:eastAsia="Noto Sans Symbols" w:hAnsi="Noto Sans Symbols"/>
      </w:rPr>
    </w:lvl>
    <w:lvl w:ilvl="3">
      <w:start w:val="1"/>
      <w:numFmt w:val="bullet"/>
      <w:lvlText w:val="●"/>
      <w:lvlJc w:val="left"/>
      <w:pPr>
        <w:ind w:left="1800" w:hanging="360"/>
      </w:pPr>
      <w:rPr>
        <w:rFonts w:ascii="Noto Sans Symbols" w:cs="Noto Sans Symbols" w:eastAsia="Noto Sans Symbols" w:hAnsi="Noto Sans Symbols"/>
      </w:rPr>
    </w:lvl>
    <w:lvl w:ilvl="4">
      <w:start w:val="1"/>
      <w:numFmt w:val="bullet"/>
      <w:lvlText w:val="◦"/>
      <w:lvlJc w:val="left"/>
      <w:pPr>
        <w:ind w:left="2160" w:hanging="360"/>
      </w:pPr>
      <w:rPr>
        <w:rFonts w:ascii="Noto Sans Symbols" w:cs="Noto Sans Symbols" w:eastAsia="Noto Sans Symbols" w:hAnsi="Noto Sans Symbols"/>
      </w:rPr>
    </w:lvl>
    <w:lvl w:ilvl="5">
      <w:start w:val="1"/>
      <w:numFmt w:val="bullet"/>
      <w:lvlText w:val="▪"/>
      <w:lvlJc w:val="left"/>
      <w:pPr>
        <w:ind w:left="2520" w:hanging="360"/>
      </w:pPr>
      <w:rPr>
        <w:rFonts w:ascii="Noto Sans Symbols" w:cs="Noto Sans Symbols" w:eastAsia="Noto Sans Symbols" w:hAnsi="Noto Sans Symbols"/>
      </w:rPr>
    </w:lvl>
    <w:lvl w:ilvl="6">
      <w:start w:val="1"/>
      <w:numFmt w:val="bullet"/>
      <w:lvlText w:val="●"/>
      <w:lvlJc w:val="left"/>
      <w:pPr>
        <w:ind w:left="2880" w:hanging="360"/>
      </w:pPr>
      <w:rPr>
        <w:rFonts w:ascii="Noto Sans Symbols" w:cs="Noto Sans Symbols" w:eastAsia="Noto Sans Symbols" w:hAnsi="Noto Sans Symbols"/>
      </w:rPr>
    </w:lvl>
    <w:lvl w:ilvl="7">
      <w:start w:val="1"/>
      <w:numFmt w:val="bullet"/>
      <w:lvlText w:val="◦"/>
      <w:lvlJc w:val="left"/>
      <w:pPr>
        <w:ind w:left="3240" w:hanging="360"/>
      </w:pPr>
      <w:rPr>
        <w:rFonts w:ascii="Noto Sans Symbols" w:cs="Noto Sans Symbols" w:eastAsia="Noto Sans Symbols" w:hAnsi="Noto Sans Symbols"/>
      </w:rPr>
    </w:lvl>
    <w:lvl w:ilvl="8">
      <w:start w:val="1"/>
      <w:numFmt w:val="bullet"/>
      <w:lvlText w:val="▪"/>
      <w:lvlJc w:val="left"/>
      <w:pPr>
        <w:ind w:left="360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080" w:hanging="360"/>
      </w:pPr>
      <w:rPr>
        <w:rFonts w:ascii="Noto Sans Symbols" w:cs="Noto Sans Symbols" w:eastAsia="Noto Sans Symbols" w:hAnsi="Noto Sans Symbols"/>
      </w:rPr>
    </w:lvl>
    <w:lvl w:ilvl="2">
      <w:start w:val="1"/>
      <w:numFmt w:val="bullet"/>
      <w:lvlText w:val="▪"/>
      <w:lvlJc w:val="left"/>
      <w:pPr>
        <w:ind w:left="1440" w:hanging="360"/>
      </w:pPr>
      <w:rPr>
        <w:rFonts w:ascii="Noto Sans Symbols" w:cs="Noto Sans Symbols" w:eastAsia="Noto Sans Symbols" w:hAnsi="Noto Sans Symbols"/>
      </w:rPr>
    </w:lvl>
    <w:lvl w:ilvl="3">
      <w:start w:val="1"/>
      <w:numFmt w:val="bullet"/>
      <w:lvlText w:val="●"/>
      <w:lvlJc w:val="left"/>
      <w:pPr>
        <w:ind w:left="1800" w:hanging="360"/>
      </w:pPr>
      <w:rPr>
        <w:rFonts w:ascii="Noto Sans Symbols" w:cs="Noto Sans Symbols" w:eastAsia="Noto Sans Symbols" w:hAnsi="Noto Sans Symbols"/>
      </w:rPr>
    </w:lvl>
    <w:lvl w:ilvl="4">
      <w:start w:val="1"/>
      <w:numFmt w:val="bullet"/>
      <w:lvlText w:val="◦"/>
      <w:lvlJc w:val="left"/>
      <w:pPr>
        <w:ind w:left="2160" w:hanging="360"/>
      </w:pPr>
      <w:rPr>
        <w:rFonts w:ascii="Noto Sans Symbols" w:cs="Noto Sans Symbols" w:eastAsia="Noto Sans Symbols" w:hAnsi="Noto Sans Symbols"/>
      </w:rPr>
    </w:lvl>
    <w:lvl w:ilvl="5">
      <w:start w:val="1"/>
      <w:numFmt w:val="bullet"/>
      <w:lvlText w:val="▪"/>
      <w:lvlJc w:val="left"/>
      <w:pPr>
        <w:ind w:left="2520" w:hanging="360"/>
      </w:pPr>
      <w:rPr>
        <w:rFonts w:ascii="Noto Sans Symbols" w:cs="Noto Sans Symbols" w:eastAsia="Noto Sans Symbols" w:hAnsi="Noto Sans Symbols"/>
      </w:rPr>
    </w:lvl>
    <w:lvl w:ilvl="6">
      <w:start w:val="1"/>
      <w:numFmt w:val="bullet"/>
      <w:lvlText w:val="●"/>
      <w:lvlJc w:val="left"/>
      <w:pPr>
        <w:ind w:left="2880" w:hanging="360"/>
      </w:pPr>
      <w:rPr>
        <w:rFonts w:ascii="Noto Sans Symbols" w:cs="Noto Sans Symbols" w:eastAsia="Noto Sans Symbols" w:hAnsi="Noto Sans Symbols"/>
      </w:rPr>
    </w:lvl>
    <w:lvl w:ilvl="7">
      <w:start w:val="1"/>
      <w:numFmt w:val="bullet"/>
      <w:lvlText w:val="◦"/>
      <w:lvlJc w:val="left"/>
      <w:pPr>
        <w:ind w:left="3240" w:hanging="360"/>
      </w:pPr>
      <w:rPr>
        <w:rFonts w:ascii="Noto Sans Symbols" w:cs="Noto Sans Symbols" w:eastAsia="Noto Sans Symbols" w:hAnsi="Noto Sans Symbols"/>
      </w:rPr>
    </w:lvl>
    <w:lvl w:ilvl="8">
      <w:start w:val="1"/>
      <w:numFmt w:val="bullet"/>
      <w:lvlText w:val="▪"/>
      <w:lvlJc w:val="left"/>
      <w:pPr>
        <w:ind w:left="360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080" w:hanging="360"/>
      </w:pPr>
      <w:rPr>
        <w:rFonts w:ascii="Noto Sans Symbols" w:cs="Noto Sans Symbols" w:eastAsia="Noto Sans Symbols" w:hAnsi="Noto Sans Symbols"/>
      </w:rPr>
    </w:lvl>
    <w:lvl w:ilvl="2">
      <w:start w:val="1"/>
      <w:numFmt w:val="bullet"/>
      <w:lvlText w:val="▪"/>
      <w:lvlJc w:val="left"/>
      <w:pPr>
        <w:ind w:left="1440" w:hanging="360"/>
      </w:pPr>
      <w:rPr>
        <w:rFonts w:ascii="Noto Sans Symbols" w:cs="Noto Sans Symbols" w:eastAsia="Noto Sans Symbols" w:hAnsi="Noto Sans Symbols"/>
      </w:rPr>
    </w:lvl>
    <w:lvl w:ilvl="3">
      <w:start w:val="1"/>
      <w:numFmt w:val="bullet"/>
      <w:lvlText w:val="●"/>
      <w:lvlJc w:val="left"/>
      <w:pPr>
        <w:ind w:left="1800" w:hanging="360"/>
      </w:pPr>
      <w:rPr>
        <w:rFonts w:ascii="Noto Sans Symbols" w:cs="Noto Sans Symbols" w:eastAsia="Noto Sans Symbols" w:hAnsi="Noto Sans Symbols"/>
      </w:rPr>
    </w:lvl>
    <w:lvl w:ilvl="4">
      <w:start w:val="1"/>
      <w:numFmt w:val="bullet"/>
      <w:lvlText w:val="◦"/>
      <w:lvlJc w:val="left"/>
      <w:pPr>
        <w:ind w:left="2160" w:hanging="360"/>
      </w:pPr>
      <w:rPr>
        <w:rFonts w:ascii="Noto Sans Symbols" w:cs="Noto Sans Symbols" w:eastAsia="Noto Sans Symbols" w:hAnsi="Noto Sans Symbols"/>
      </w:rPr>
    </w:lvl>
    <w:lvl w:ilvl="5">
      <w:start w:val="1"/>
      <w:numFmt w:val="bullet"/>
      <w:lvlText w:val="▪"/>
      <w:lvlJc w:val="left"/>
      <w:pPr>
        <w:ind w:left="2520" w:hanging="360"/>
      </w:pPr>
      <w:rPr>
        <w:rFonts w:ascii="Noto Sans Symbols" w:cs="Noto Sans Symbols" w:eastAsia="Noto Sans Symbols" w:hAnsi="Noto Sans Symbols"/>
      </w:rPr>
    </w:lvl>
    <w:lvl w:ilvl="6">
      <w:start w:val="1"/>
      <w:numFmt w:val="bullet"/>
      <w:lvlText w:val="●"/>
      <w:lvlJc w:val="left"/>
      <w:pPr>
        <w:ind w:left="2880" w:hanging="360"/>
      </w:pPr>
      <w:rPr>
        <w:rFonts w:ascii="Noto Sans Symbols" w:cs="Noto Sans Symbols" w:eastAsia="Noto Sans Symbols" w:hAnsi="Noto Sans Symbols"/>
      </w:rPr>
    </w:lvl>
    <w:lvl w:ilvl="7">
      <w:start w:val="1"/>
      <w:numFmt w:val="bullet"/>
      <w:lvlText w:val="◦"/>
      <w:lvlJc w:val="left"/>
      <w:pPr>
        <w:ind w:left="3240" w:hanging="360"/>
      </w:pPr>
      <w:rPr>
        <w:rFonts w:ascii="Noto Sans Symbols" w:cs="Noto Sans Symbols" w:eastAsia="Noto Sans Symbols" w:hAnsi="Noto Sans Symbols"/>
      </w:rPr>
    </w:lvl>
    <w:lvl w:ilvl="8">
      <w:start w:val="1"/>
      <w:numFmt w:val="bullet"/>
      <w:lvlText w:val="▪"/>
      <w:lvlJc w:val="left"/>
      <w:pPr>
        <w:ind w:left="360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080" w:hanging="360"/>
      </w:pPr>
      <w:rPr>
        <w:rFonts w:ascii="Noto Sans Symbols" w:cs="Noto Sans Symbols" w:eastAsia="Noto Sans Symbols" w:hAnsi="Noto Sans Symbols"/>
      </w:rPr>
    </w:lvl>
    <w:lvl w:ilvl="2">
      <w:start w:val="1"/>
      <w:numFmt w:val="bullet"/>
      <w:lvlText w:val="▪"/>
      <w:lvlJc w:val="left"/>
      <w:pPr>
        <w:ind w:left="1440" w:hanging="360"/>
      </w:pPr>
      <w:rPr>
        <w:rFonts w:ascii="Noto Sans Symbols" w:cs="Noto Sans Symbols" w:eastAsia="Noto Sans Symbols" w:hAnsi="Noto Sans Symbols"/>
      </w:rPr>
    </w:lvl>
    <w:lvl w:ilvl="3">
      <w:start w:val="1"/>
      <w:numFmt w:val="bullet"/>
      <w:lvlText w:val="●"/>
      <w:lvlJc w:val="left"/>
      <w:pPr>
        <w:ind w:left="1800" w:hanging="360"/>
      </w:pPr>
      <w:rPr>
        <w:rFonts w:ascii="Noto Sans Symbols" w:cs="Noto Sans Symbols" w:eastAsia="Noto Sans Symbols" w:hAnsi="Noto Sans Symbols"/>
      </w:rPr>
    </w:lvl>
    <w:lvl w:ilvl="4">
      <w:start w:val="1"/>
      <w:numFmt w:val="bullet"/>
      <w:lvlText w:val="◦"/>
      <w:lvlJc w:val="left"/>
      <w:pPr>
        <w:ind w:left="2160" w:hanging="360"/>
      </w:pPr>
      <w:rPr>
        <w:rFonts w:ascii="Noto Sans Symbols" w:cs="Noto Sans Symbols" w:eastAsia="Noto Sans Symbols" w:hAnsi="Noto Sans Symbols"/>
      </w:rPr>
    </w:lvl>
    <w:lvl w:ilvl="5">
      <w:start w:val="1"/>
      <w:numFmt w:val="bullet"/>
      <w:lvlText w:val="▪"/>
      <w:lvlJc w:val="left"/>
      <w:pPr>
        <w:ind w:left="2520" w:hanging="360"/>
      </w:pPr>
      <w:rPr>
        <w:rFonts w:ascii="Noto Sans Symbols" w:cs="Noto Sans Symbols" w:eastAsia="Noto Sans Symbols" w:hAnsi="Noto Sans Symbols"/>
      </w:rPr>
    </w:lvl>
    <w:lvl w:ilvl="6">
      <w:start w:val="1"/>
      <w:numFmt w:val="bullet"/>
      <w:lvlText w:val="●"/>
      <w:lvlJc w:val="left"/>
      <w:pPr>
        <w:ind w:left="2880" w:hanging="360"/>
      </w:pPr>
      <w:rPr>
        <w:rFonts w:ascii="Noto Sans Symbols" w:cs="Noto Sans Symbols" w:eastAsia="Noto Sans Symbols" w:hAnsi="Noto Sans Symbols"/>
      </w:rPr>
    </w:lvl>
    <w:lvl w:ilvl="7">
      <w:start w:val="1"/>
      <w:numFmt w:val="bullet"/>
      <w:lvlText w:val="◦"/>
      <w:lvlJc w:val="left"/>
      <w:pPr>
        <w:ind w:left="3240" w:hanging="360"/>
      </w:pPr>
      <w:rPr>
        <w:rFonts w:ascii="Noto Sans Symbols" w:cs="Noto Sans Symbols" w:eastAsia="Noto Sans Symbols" w:hAnsi="Noto Sans Symbols"/>
      </w:rPr>
    </w:lvl>
    <w:lvl w:ilvl="8">
      <w:start w:val="1"/>
      <w:numFmt w:val="bullet"/>
      <w:lvlText w:val="▪"/>
      <w:lvlJc w:val="left"/>
      <w:pPr>
        <w:ind w:left="360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080" w:hanging="360"/>
      </w:pPr>
      <w:rPr>
        <w:rFonts w:ascii="Noto Sans Symbols" w:cs="Noto Sans Symbols" w:eastAsia="Noto Sans Symbols" w:hAnsi="Noto Sans Symbols"/>
      </w:rPr>
    </w:lvl>
    <w:lvl w:ilvl="2">
      <w:start w:val="1"/>
      <w:numFmt w:val="bullet"/>
      <w:lvlText w:val="▪"/>
      <w:lvlJc w:val="left"/>
      <w:pPr>
        <w:ind w:left="1440" w:hanging="360"/>
      </w:pPr>
      <w:rPr>
        <w:rFonts w:ascii="Noto Sans Symbols" w:cs="Noto Sans Symbols" w:eastAsia="Noto Sans Symbols" w:hAnsi="Noto Sans Symbols"/>
      </w:rPr>
    </w:lvl>
    <w:lvl w:ilvl="3">
      <w:start w:val="1"/>
      <w:numFmt w:val="bullet"/>
      <w:lvlText w:val="●"/>
      <w:lvlJc w:val="left"/>
      <w:pPr>
        <w:ind w:left="1800" w:hanging="360"/>
      </w:pPr>
      <w:rPr>
        <w:rFonts w:ascii="Noto Sans Symbols" w:cs="Noto Sans Symbols" w:eastAsia="Noto Sans Symbols" w:hAnsi="Noto Sans Symbols"/>
      </w:rPr>
    </w:lvl>
    <w:lvl w:ilvl="4">
      <w:start w:val="1"/>
      <w:numFmt w:val="bullet"/>
      <w:lvlText w:val="◦"/>
      <w:lvlJc w:val="left"/>
      <w:pPr>
        <w:ind w:left="2160" w:hanging="360"/>
      </w:pPr>
      <w:rPr>
        <w:rFonts w:ascii="Noto Sans Symbols" w:cs="Noto Sans Symbols" w:eastAsia="Noto Sans Symbols" w:hAnsi="Noto Sans Symbols"/>
      </w:rPr>
    </w:lvl>
    <w:lvl w:ilvl="5">
      <w:start w:val="1"/>
      <w:numFmt w:val="bullet"/>
      <w:lvlText w:val="▪"/>
      <w:lvlJc w:val="left"/>
      <w:pPr>
        <w:ind w:left="2520" w:hanging="360"/>
      </w:pPr>
      <w:rPr>
        <w:rFonts w:ascii="Noto Sans Symbols" w:cs="Noto Sans Symbols" w:eastAsia="Noto Sans Symbols" w:hAnsi="Noto Sans Symbols"/>
      </w:rPr>
    </w:lvl>
    <w:lvl w:ilvl="6">
      <w:start w:val="1"/>
      <w:numFmt w:val="bullet"/>
      <w:lvlText w:val="●"/>
      <w:lvlJc w:val="left"/>
      <w:pPr>
        <w:ind w:left="2880" w:hanging="360"/>
      </w:pPr>
      <w:rPr>
        <w:rFonts w:ascii="Noto Sans Symbols" w:cs="Noto Sans Symbols" w:eastAsia="Noto Sans Symbols" w:hAnsi="Noto Sans Symbols"/>
      </w:rPr>
    </w:lvl>
    <w:lvl w:ilvl="7">
      <w:start w:val="1"/>
      <w:numFmt w:val="bullet"/>
      <w:lvlText w:val="◦"/>
      <w:lvlJc w:val="left"/>
      <w:pPr>
        <w:ind w:left="3240" w:hanging="360"/>
      </w:pPr>
      <w:rPr>
        <w:rFonts w:ascii="Noto Sans Symbols" w:cs="Noto Sans Symbols" w:eastAsia="Noto Sans Symbols" w:hAnsi="Noto Sans Symbols"/>
      </w:rPr>
    </w:lvl>
    <w:lvl w:ilvl="8">
      <w:start w:val="1"/>
      <w:numFmt w:val="bullet"/>
      <w:lvlText w:val="▪"/>
      <w:lvlJc w:val="left"/>
      <w:pPr>
        <w:ind w:left="360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080" w:hanging="360"/>
      </w:pPr>
      <w:rPr>
        <w:rFonts w:ascii="Noto Sans Symbols" w:cs="Noto Sans Symbols" w:eastAsia="Noto Sans Symbols" w:hAnsi="Noto Sans Symbols"/>
      </w:rPr>
    </w:lvl>
    <w:lvl w:ilvl="2">
      <w:start w:val="1"/>
      <w:numFmt w:val="bullet"/>
      <w:lvlText w:val="▪"/>
      <w:lvlJc w:val="left"/>
      <w:pPr>
        <w:ind w:left="1440" w:hanging="360"/>
      </w:pPr>
      <w:rPr>
        <w:rFonts w:ascii="Noto Sans Symbols" w:cs="Noto Sans Symbols" w:eastAsia="Noto Sans Symbols" w:hAnsi="Noto Sans Symbols"/>
      </w:rPr>
    </w:lvl>
    <w:lvl w:ilvl="3">
      <w:start w:val="1"/>
      <w:numFmt w:val="bullet"/>
      <w:lvlText w:val="●"/>
      <w:lvlJc w:val="left"/>
      <w:pPr>
        <w:ind w:left="1800" w:hanging="360"/>
      </w:pPr>
      <w:rPr>
        <w:rFonts w:ascii="Noto Sans Symbols" w:cs="Noto Sans Symbols" w:eastAsia="Noto Sans Symbols" w:hAnsi="Noto Sans Symbols"/>
      </w:rPr>
    </w:lvl>
    <w:lvl w:ilvl="4">
      <w:start w:val="1"/>
      <w:numFmt w:val="bullet"/>
      <w:lvlText w:val="◦"/>
      <w:lvlJc w:val="left"/>
      <w:pPr>
        <w:ind w:left="2160" w:hanging="360"/>
      </w:pPr>
      <w:rPr>
        <w:rFonts w:ascii="Noto Sans Symbols" w:cs="Noto Sans Symbols" w:eastAsia="Noto Sans Symbols" w:hAnsi="Noto Sans Symbols"/>
      </w:rPr>
    </w:lvl>
    <w:lvl w:ilvl="5">
      <w:start w:val="1"/>
      <w:numFmt w:val="bullet"/>
      <w:lvlText w:val="▪"/>
      <w:lvlJc w:val="left"/>
      <w:pPr>
        <w:ind w:left="2520" w:hanging="360"/>
      </w:pPr>
      <w:rPr>
        <w:rFonts w:ascii="Noto Sans Symbols" w:cs="Noto Sans Symbols" w:eastAsia="Noto Sans Symbols" w:hAnsi="Noto Sans Symbols"/>
      </w:rPr>
    </w:lvl>
    <w:lvl w:ilvl="6">
      <w:start w:val="1"/>
      <w:numFmt w:val="bullet"/>
      <w:lvlText w:val="●"/>
      <w:lvlJc w:val="left"/>
      <w:pPr>
        <w:ind w:left="2880" w:hanging="360"/>
      </w:pPr>
      <w:rPr>
        <w:rFonts w:ascii="Noto Sans Symbols" w:cs="Noto Sans Symbols" w:eastAsia="Noto Sans Symbols" w:hAnsi="Noto Sans Symbols"/>
      </w:rPr>
    </w:lvl>
    <w:lvl w:ilvl="7">
      <w:start w:val="1"/>
      <w:numFmt w:val="bullet"/>
      <w:lvlText w:val="◦"/>
      <w:lvlJc w:val="left"/>
      <w:pPr>
        <w:ind w:left="3240" w:hanging="360"/>
      </w:pPr>
      <w:rPr>
        <w:rFonts w:ascii="Noto Sans Symbols" w:cs="Noto Sans Symbols" w:eastAsia="Noto Sans Symbols" w:hAnsi="Noto Sans Symbols"/>
      </w:rPr>
    </w:lvl>
    <w:lvl w:ilvl="8">
      <w:start w:val="1"/>
      <w:numFmt w:val="bullet"/>
      <w:lvlText w:val="▪"/>
      <w:lvlJc w:val="left"/>
      <w:pPr>
        <w:ind w:left="360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080" w:hanging="360"/>
      </w:pPr>
      <w:rPr>
        <w:rFonts w:ascii="Noto Sans Symbols" w:cs="Noto Sans Symbols" w:eastAsia="Noto Sans Symbols" w:hAnsi="Noto Sans Symbols"/>
      </w:rPr>
    </w:lvl>
    <w:lvl w:ilvl="2">
      <w:start w:val="1"/>
      <w:numFmt w:val="bullet"/>
      <w:lvlText w:val="▪"/>
      <w:lvlJc w:val="left"/>
      <w:pPr>
        <w:ind w:left="1440" w:hanging="360"/>
      </w:pPr>
      <w:rPr>
        <w:rFonts w:ascii="Noto Sans Symbols" w:cs="Noto Sans Symbols" w:eastAsia="Noto Sans Symbols" w:hAnsi="Noto Sans Symbols"/>
      </w:rPr>
    </w:lvl>
    <w:lvl w:ilvl="3">
      <w:start w:val="1"/>
      <w:numFmt w:val="bullet"/>
      <w:lvlText w:val="●"/>
      <w:lvlJc w:val="left"/>
      <w:pPr>
        <w:ind w:left="1800" w:hanging="360"/>
      </w:pPr>
      <w:rPr>
        <w:rFonts w:ascii="Noto Sans Symbols" w:cs="Noto Sans Symbols" w:eastAsia="Noto Sans Symbols" w:hAnsi="Noto Sans Symbols"/>
      </w:rPr>
    </w:lvl>
    <w:lvl w:ilvl="4">
      <w:start w:val="1"/>
      <w:numFmt w:val="bullet"/>
      <w:lvlText w:val="◦"/>
      <w:lvlJc w:val="left"/>
      <w:pPr>
        <w:ind w:left="2160" w:hanging="360"/>
      </w:pPr>
      <w:rPr>
        <w:rFonts w:ascii="Noto Sans Symbols" w:cs="Noto Sans Symbols" w:eastAsia="Noto Sans Symbols" w:hAnsi="Noto Sans Symbols"/>
      </w:rPr>
    </w:lvl>
    <w:lvl w:ilvl="5">
      <w:start w:val="1"/>
      <w:numFmt w:val="bullet"/>
      <w:lvlText w:val="▪"/>
      <w:lvlJc w:val="left"/>
      <w:pPr>
        <w:ind w:left="2520" w:hanging="360"/>
      </w:pPr>
      <w:rPr>
        <w:rFonts w:ascii="Noto Sans Symbols" w:cs="Noto Sans Symbols" w:eastAsia="Noto Sans Symbols" w:hAnsi="Noto Sans Symbols"/>
      </w:rPr>
    </w:lvl>
    <w:lvl w:ilvl="6">
      <w:start w:val="1"/>
      <w:numFmt w:val="bullet"/>
      <w:lvlText w:val="●"/>
      <w:lvlJc w:val="left"/>
      <w:pPr>
        <w:ind w:left="2880" w:hanging="360"/>
      </w:pPr>
      <w:rPr>
        <w:rFonts w:ascii="Noto Sans Symbols" w:cs="Noto Sans Symbols" w:eastAsia="Noto Sans Symbols" w:hAnsi="Noto Sans Symbols"/>
      </w:rPr>
    </w:lvl>
    <w:lvl w:ilvl="7">
      <w:start w:val="1"/>
      <w:numFmt w:val="bullet"/>
      <w:lvlText w:val="◦"/>
      <w:lvlJc w:val="left"/>
      <w:pPr>
        <w:ind w:left="3240" w:hanging="360"/>
      </w:pPr>
      <w:rPr>
        <w:rFonts w:ascii="Noto Sans Symbols" w:cs="Noto Sans Symbols" w:eastAsia="Noto Sans Symbols" w:hAnsi="Noto Sans Symbols"/>
      </w:rPr>
    </w:lvl>
    <w:lvl w:ilvl="8">
      <w:start w:val="1"/>
      <w:numFmt w:val="bullet"/>
      <w:lvlText w:val="▪"/>
      <w:lvlJc w:val="left"/>
      <w:pPr>
        <w:ind w:left="360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080" w:hanging="360"/>
      </w:pPr>
      <w:rPr>
        <w:rFonts w:ascii="Noto Sans Symbols" w:cs="Noto Sans Symbols" w:eastAsia="Noto Sans Symbols" w:hAnsi="Noto Sans Symbols"/>
      </w:rPr>
    </w:lvl>
    <w:lvl w:ilvl="2">
      <w:start w:val="1"/>
      <w:numFmt w:val="bullet"/>
      <w:lvlText w:val="▪"/>
      <w:lvlJc w:val="left"/>
      <w:pPr>
        <w:ind w:left="1440" w:hanging="360"/>
      </w:pPr>
      <w:rPr>
        <w:rFonts w:ascii="Noto Sans Symbols" w:cs="Noto Sans Symbols" w:eastAsia="Noto Sans Symbols" w:hAnsi="Noto Sans Symbols"/>
      </w:rPr>
    </w:lvl>
    <w:lvl w:ilvl="3">
      <w:start w:val="1"/>
      <w:numFmt w:val="bullet"/>
      <w:lvlText w:val="●"/>
      <w:lvlJc w:val="left"/>
      <w:pPr>
        <w:ind w:left="1800" w:hanging="360"/>
      </w:pPr>
      <w:rPr>
        <w:rFonts w:ascii="Noto Sans Symbols" w:cs="Noto Sans Symbols" w:eastAsia="Noto Sans Symbols" w:hAnsi="Noto Sans Symbols"/>
      </w:rPr>
    </w:lvl>
    <w:lvl w:ilvl="4">
      <w:start w:val="1"/>
      <w:numFmt w:val="bullet"/>
      <w:lvlText w:val="◦"/>
      <w:lvlJc w:val="left"/>
      <w:pPr>
        <w:ind w:left="2160" w:hanging="360"/>
      </w:pPr>
      <w:rPr>
        <w:rFonts w:ascii="Noto Sans Symbols" w:cs="Noto Sans Symbols" w:eastAsia="Noto Sans Symbols" w:hAnsi="Noto Sans Symbols"/>
      </w:rPr>
    </w:lvl>
    <w:lvl w:ilvl="5">
      <w:start w:val="1"/>
      <w:numFmt w:val="bullet"/>
      <w:lvlText w:val="▪"/>
      <w:lvlJc w:val="left"/>
      <w:pPr>
        <w:ind w:left="2520" w:hanging="360"/>
      </w:pPr>
      <w:rPr>
        <w:rFonts w:ascii="Noto Sans Symbols" w:cs="Noto Sans Symbols" w:eastAsia="Noto Sans Symbols" w:hAnsi="Noto Sans Symbols"/>
      </w:rPr>
    </w:lvl>
    <w:lvl w:ilvl="6">
      <w:start w:val="1"/>
      <w:numFmt w:val="bullet"/>
      <w:lvlText w:val="●"/>
      <w:lvlJc w:val="left"/>
      <w:pPr>
        <w:ind w:left="2880" w:hanging="360"/>
      </w:pPr>
      <w:rPr>
        <w:rFonts w:ascii="Noto Sans Symbols" w:cs="Noto Sans Symbols" w:eastAsia="Noto Sans Symbols" w:hAnsi="Noto Sans Symbols"/>
      </w:rPr>
    </w:lvl>
    <w:lvl w:ilvl="7">
      <w:start w:val="1"/>
      <w:numFmt w:val="bullet"/>
      <w:lvlText w:val="◦"/>
      <w:lvlJc w:val="left"/>
      <w:pPr>
        <w:ind w:left="3240" w:hanging="360"/>
      </w:pPr>
      <w:rPr>
        <w:rFonts w:ascii="Noto Sans Symbols" w:cs="Noto Sans Symbols" w:eastAsia="Noto Sans Symbols" w:hAnsi="Noto Sans Symbols"/>
      </w:rPr>
    </w:lvl>
    <w:lvl w:ilvl="8">
      <w:start w:val="1"/>
      <w:numFmt w:val="bullet"/>
      <w:lvlText w:val="▪"/>
      <w:lvlJc w:val="left"/>
      <w:pPr>
        <w:ind w:left="360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080" w:hanging="360"/>
      </w:pPr>
      <w:rPr>
        <w:rFonts w:ascii="Noto Sans Symbols" w:cs="Noto Sans Symbols" w:eastAsia="Noto Sans Symbols" w:hAnsi="Noto Sans Symbols"/>
      </w:rPr>
    </w:lvl>
    <w:lvl w:ilvl="2">
      <w:start w:val="1"/>
      <w:numFmt w:val="bullet"/>
      <w:lvlText w:val="▪"/>
      <w:lvlJc w:val="left"/>
      <w:pPr>
        <w:ind w:left="1440" w:hanging="360"/>
      </w:pPr>
      <w:rPr>
        <w:rFonts w:ascii="Noto Sans Symbols" w:cs="Noto Sans Symbols" w:eastAsia="Noto Sans Symbols" w:hAnsi="Noto Sans Symbols"/>
      </w:rPr>
    </w:lvl>
    <w:lvl w:ilvl="3">
      <w:start w:val="1"/>
      <w:numFmt w:val="bullet"/>
      <w:lvlText w:val="●"/>
      <w:lvlJc w:val="left"/>
      <w:pPr>
        <w:ind w:left="1800" w:hanging="360"/>
      </w:pPr>
      <w:rPr>
        <w:rFonts w:ascii="Noto Sans Symbols" w:cs="Noto Sans Symbols" w:eastAsia="Noto Sans Symbols" w:hAnsi="Noto Sans Symbols"/>
      </w:rPr>
    </w:lvl>
    <w:lvl w:ilvl="4">
      <w:start w:val="1"/>
      <w:numFmt w:val="bullet"/>
      <w:lvlText w:val="◦"/>
      <w:lvlJc w:val="left"/>
      <w:pPr>
        <w:ind w:left="2160" w:hanging="360"/>
      </w:pPr>
      <w:rPr>
        <w:rFonts w:ascii="Noto Sans Symbols" w:cs="Noto Sans Symbols" w:eastAsia="Noto Sans Symbols" w:hAnsi="Noto Sans Symbols"/>
      </w:rPr>
    </w:lvl>
    <w:lvl w:ilvl="5">
      <w:start w:val="1"/>
      <w:numFmt w:val="bullet"/>
      <w:lvlText w:val="▪"/>
      <w:lvlJc w:val="left"/>
      <w:pPr>
        <w:ind w:left="2520" w:hanging="360"/>
      </w:pPr>
      <w:rPr>
        <w:rFonts w:ascii="Noto Sans Symbols" w:cs="Noto Sans Symbols" w:eastAsia="Noto Sans Symbols" w:hAnsi="Noto Sans Symbols"/>
      </w:rPr>
    </w:lvl>
    <w:lvl w:ilvl="6">
      <w:start w:val="1"/>
      <w:numFmt w:val="bullet"/>
      <w:lvlText w:val="●"/>
      <w:lvlJc w:val="left"/>
      <w:pPr>
        <w:ind w:left="2880" w:hanging="360"/>
      </w:pPr>
      <w:rPr>
        <w:rFonts w:ascii="Noto Sans Symbols" w:cs="Noto Sans Symbols" w:eastAsia="Noto Sans Symbols" w:hAnsi="Noto Sans Symbols"/>
      </w:rPr>
    </w:lvl>
    <w:lvl w:ilvl="7">
      <w:start w:val="1"/>
      <w:numFmt w:val="bullet"/>
      <w:lvlText w:val="◦"/>
      <w:lvlJc w:val="left"/>
      <w:pPr>
        <w:ind w:left="3240" w:hanging="360"/>
      </w:pPr>
      <w:rPr>
        <w:rFonts w:ascii="Noto Sans Symbols" w:cs="Noto Sans Symbols" w:eastAsia="Noto Sans Symbols" w:hAnsi="Noto Sans Symbols"/>
      </w:rPr>
    </w:lvl>
    <w:lvl w:ilvl="8">
      <w:start w:val="1"/>
      <w:numFmt w:val="bullet"/>
      <w:lvlText w:val="▪"/>
      <w:lvlJc w:val="left"/>
      <w:pPr>
        <w:ind w:left="3600" w:hanging="360"/>
      </w:pPr>
      <w:rPr>
        <w:rFonts w:ascii="Noto Sans Symbols" w:cs="Noto Sans Symbols" w:eastAsia="Noto Sans Symbols" w:hAnsi="Noto Sans Symbols"/>
      </w:rPr>
    </w:lvl>
  </w:abstractNum>
  <w:abstractNum w:abstractNumId="11">
    <w:lvl w:ilvl="0">
      <w:start w:val="1"/>
      <w:numFmt w:val="bullet"/>
      <w:lvlText w:val="●"/>
      <w:lvlJc w:val="left"/>
      <w:pPr>
        <w:ind w:left="709" w:hanging="282.9999999999999"/>
      </w:pPr>
      <w:rPr>
        <w:rFonts w:ascii="Noto Sans Symbols" w:cs="Noto Sans Symbols" w:eastAsia="Noto Sans Symbols" w:hAnsi="Noto Sans Symbols"/>
      </w:rPr>
    </w:lvl>
    <w:lvl w:ilvl="1">
      <w:start w:val="1"/>
      <w:numFmt w:val="bullet"/>
      <w:lvlText w:val="●"/>
      <w:lvlJc w:val="left"/>
      <w:pPr>
        <w:ind w:left="1418" w:hanging="282.9999999999998"/>
      </w:pPr>
      <w:rPr>
        <w:rFonts w:ascii="Noto Sans Symbols" w:cs="Noto Sans Symbols" w:eastAsia="Noto Sans Symbols" w:hAnsi="Noto Sans Symbols"/>
      </w:rPr>
    </w:lvl>
    <w:lvl w:ilvl="2">
      <w:start w:val="1"/>
      <w:numFmt w:val="bullet"/>
      <w:lvlText w:val="●"/>
      <w:lvlJc w:val="left"/>
      <w:pPr>
        <w:ind w:left="2127" w:hanging="283.0000000000002"/>
      </w:pPr>
      <w:rPr>
        <w:rFonts w:ascii="Noto Sans Symbols" w:cs="Noto Sans Symbols" w:eastAsia="Noto Sans Symbols" w:hAnsi="Noto Sans Symbols"/>
      </w:rPr>
    </w:lvl>
    <w:lvl w:ilvl="3">
      <w:start w:val="1"/>
      <w:numFmt w:val="bullet"/>
      <w:lvlText w:val="●"/>
      <w:lvlJc w:val="left"/>
      <w:pPr>
        <w:ind w:left="2836" w:hanging="283"/>
      </w:pPr>
      <w:rPr>
        <w:rFonts w:ascii="Noto Sans Symbols" w:cs="Noto Sans Symbols" w:eastAsia="Noto Sans Symbols" w:hAnsi="Noto Sans Symbols"/>
      </w:rPr>
    </w:lvl>
    <w:lvl w:ilvl="4">
      <w:start w:val="1"/>
      <w:numFmt w:val="bullet"/>
      <w:lvlText w:val="●"/>
      <w:lvlJc w:val="left"/>
      <w:pPr>
        <w:ind w:left="3545" w:hanging="283"/>
      </w:pPr>
      <w:rPr>
        <w:rFonts w:ascii="Noto Sans Symbols" w:cs="Noto Sans Symbols" w:eastAsia="Noto Sans Symbols" w:hAnsi="Noto Sans Symbols"/>
      </w:rPr>
    </w:lvl>
    <w:lvl w:ilvl="5">
      <w:start w:val="1"/>
      <w:numFmt w:val="bullet"/>
      <w:lvlText w:val="●"/>
      <w:lvlJc w:val="left"/>
      <w:pPr>
        <w:ind w:left="4254" w:hanging="283.00000000000045"/>
      </w:pPr>
      <w:rPr>
        <w:rFonts w:ascii="Noto Sans Symbols" w:cs="Noto Sans Symbols" w:eastAsia="Noto Sans Symbols" w:hAnsi="Noto Sans Symbols"/>
      </w:rPr>
    </w:lvl>
    <w:lvl w:ilvl="6">
      <w:start w:val="1"/>
      <w:numFmt w:val="bullet"/>
      <w:lvlText w:val="●"/>
      <w:lvlJc w:val="left"/>
      <w:pPr>
        <w:ind w:left="4963" w:hanging="283"/>
      </w:pPr>
      <w:rPr>
        <w:rFonts w:ascii="Noto Sans Symbols" w:cs="Noto Sans Symbols" w:eastAsia="Noto Sans Symbols" w:hAnsi="Noto Sans Symbols"/>
      </w:rPr>
    </w:lvl>
    <w:lvl w:ilvl="7">
      <w:start w:val="1"/>
      <w:numFmt w:val="bullet"/>
      <w:lvlText w:val="●"/>
      <w:lvlJc w:val="left"/>
      <w:pPr>
        <w:ind w:left="5672" w:hanging="282.9999999999991"/>
      </w:pPr>
      <w:rPr>
        <w:rFonts w:ascii="Noto Sans Symbols" w:cs="Noto Sans Symbols" w:eastAsia="Noto Sans Symbols" w:hAnsi="Noto Sans Symbols"/>
      </w:rPr>
    </w:lvl>
    <w:lvl w:ilvl="8">
      <w:start w:val="1"/>
      <w:numFmt w:val="bullet"/>
      <w:lvlText w:val="●"/>
      <w:lvlJc w:val="left"/>
      <w:pPr>
        <w:ind w:left="6381" w:hanging="282.9999999999991"/>
      </w:pPr>
      <w:rPr>
        <w:rFonts w:ascii="Noto Sans Symbols" w:cs="Noto Sans Symbols" w:eastAsia="Noto Sans Symbols" w:hAnsi="Noto Sans Symbols"/>
      </w:rPr>
    </w:lvl>
  </w:abstractNum>
  <w:abstractNum w:abstractNumId="12">
    <w:lvl w:ilvl="0">
      <w:start w:val="1"/>
      <w:numFmt w:val="bullet"/>
      <w:lvlText w:val="●"/>
      <w:lvlJc w:val="left"/>
      <w:pPr>
        <w:ind w:left="709" w:hanging="282.9999999999999"/>
      </w:pPr>
      <w:rPr>
        <w:rFonts w:ascii="Noto Sans Symbols" w:cs="Noto Sans Symbols" w:eastAsia="Noto Sans Symbols" w:hAnsi="Noto Sans Symbols"/>
      </w:rPr>
    </w:lvl>
    <w:lvl w:ilvl="1">
      <w:start w:val="1"/>
      <w:numFmt w:val="bullet"/>
      <w:lvlText w:val="●"/>
      <w:lvlJc w:val="left"/>
      <w:pPr>
        <w:ind w:left="1418" w:hanging="282.9999999999998"/>
      </w:pPr>
      <w:rPr>
        <w:rFonts w:ascii="Noto Sans Symbols" w:cs="Noto Sans Symbols" w:eastAsia="Noto Sans Symbols" w:hAnsi="Noto Sans Symbols"/>
      </w:rPr>
    </w:lvl>
    <w:lvl w:ilvl="2">
      <w:start w:val="1"/>
      <w:numFmt w:val="bullet"/>
      <w:lvlText w:val="●"/>
      <w:lvlJc w:val="left"/>
      <w:pPr>
        <w:ind w:left="2127" w:hanging="283.0000000000002"/>
      </w:pPr>
      <w:rPr>
        <w:rFonts w:ascii="Noto Sans Symbols" w:cs="Noto Sans Symbols" w:eastAsia="Noto Sans Symbols" w:hAnsi="Noto Sans Symbols"/>
      </w:rPr>
    </w:lvl>
    <w:lvl w:ilvl="3">
      <w:start w:val="1"/>
      <w:numFmt w:val="bullet"/>
      <w:lvlText w:val="●"/>
      <w:lvlJc w:val="left"/>
      <w:pPr>
        <w:ind w:left="2836" w:hanging="283"/>
      </w:pPr>
      <w:rPr>
        <w:rFonts w:ascii="Noto Sans Symbols" w:cs="Noto Sans Symbols" w:eastAsia="Noto Sans Symbols" w:hAnsi="Noto Sans Symbols"/>
      </w:rPr>
    </w:lvl>
    <w:lvl w:ilvl="4">
      <w:start w:val="1"/>
      <w:numFmt w:val="bullet"/>
      <w:lvlText w:val="●"/>
      <w:lvlJc w:val="left"/>
      <w:pPr>
        <w:ind w:left="3545" w:hanging="283"/>
      </w:pPr>
      <w:rPr>
        <w:rFonts w:ascii="Noto Sans Symbols" w:cs="Noto Sans Symbols" w:eastAsia="Noto Sans Symbols" w:hAnsi="Noto Sans Symbols"/>
      </w:rPr>
    </w:lvl>
    <w:lvl w:ilvl="5">
      <w:start w:val="1"/>
      <w:numFmt w:val="bullet"/>
      <w:lvlText w:val="●"/>
      <w:lvlJc w:val="left"/>
      <w:pPr>
        <w:ind w:left="4254" w:hanging="283.00000000000045"/>
      </w:pPr>
      <w:rPr>
        <w:rFonts w:ascii="Noto Sans Symbols" w:cs="Noto Sans Symbols" w:eastAsia="Noto Sans Symbols" w:hAnsi="Noto Sans Symbols"/>
      </w:rPr>
    </w:lvl>
    <w:lvl w:ilvl="6">
      <w:start w:val="1"/>
      <w:numFmt w:val="bullet"/>
      <w:lvlText w:val="●"/>
      <w:lvlJc w:val="left"/>
      <w:pPr>
        <w:ind w:left="4963" w:hanging="283"/>
      </w:pPr>
      <w:rPr>
        <w:rFonts w:ascii="Noto Sans Symbols" w:cs="Noto Sans Symbols" w:eastAsia="Noto Sans Symbols" w:hAnsi="Noto Sans Symbols"/>
      </w:rPr>
    </w:lvl>
    <w:lvl w:ilvl="7">
      <w:start w:val="1"/>
      <w:numFmt w:val="bullet"/>
      <w:lvlText w:val="●"/>
      <w:lvlJc w:val="left"/>
      <w:pPr>
        <w:ind w:left="5672" w:hanging="282.9999999999991"/>
      </w:pPr>
      <w:rPr>
        <w:rFonts w:ascii="Noto Sans Symbols" w:cs="Noto Sans Symbols" w:eastAsia="Noto Sans Symbols" w:hAnsi="Noto Sans Symbols"/>
      </w:rPr>
    </w:lvl>
    <w:lvl w:ilvl="8">
      <w:start w:val="1"/>
      <w:numFmt w:val="bullet"/>
      <w:lvlText w:val="●"/>
      <w:lvlJc w:val="left"/>
      <w:pPr>
        <w:ind w:left="6381" w:hanging="282.9999999999991"/>
      </w:pPr>
      <w:rPr>
        <w:rFonts w:ascii="Noto Sans Symbols" w:cs="Noto Sans Symbols" w:eastAsia="Noto Sans Symbols" w:hAnsi="Noto Sans Symbols"/>
      </w:rPr>
    </w:lvl>
  </w:abstractNum>
  <w:abstractNum w:abstractNumId="1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080" w:hanging="360"/>
      </w:pPr>
      <w:rPr>
        <w:rFonts w:ascii="Noto Sans Symbols" w:cs="Noto Sans Symbols" w:eastAsia="Noto Sans Symbols" w:hAnsi="Noto Sans Symbols"/>
      </w:rPr>
    </w:lvl>
    <w:lvl w:ilvl="2">
      <w:start w:val="1"/>
      <w:numFmt w:val="bullet"/>
      <w:lvlText w:val="▪"/>
      <w:lvlJc w:val="left"/>
      <w:pPr>
        <w:ind w:left="1440" w:hanging="360"/>
      </w:pPr>
      <w:rPr>
        <w:rFonts w:ascii="Noto Sans Symbols" w:cs="Noto Sans Symbols" w:eastAsia="Noto Sans Symbols" w:hAnsi="Noto Sans Symbols"/>
      </w:rPr>
    </w:lvl>
    <w:lvl w:ilvl="3">
      <w:start w:val="1"/>
      <w:numFmt w:val="bullet"/>
      <w:lvlText w:val="●"/>
      <w:lvlJc w:val="left"/>
      <w:pPr>
        <w:ind w:left="1800" w:hanging="360"/>
      </w:pPr>
      <w:rPr>
        <w:rFonts w:ascii="Noto Sans Symbols" w:cs="Noto Sans Symbols" w:eastAsia="Noto Sans Symbols" w:hAnsi="Noto Sans Symbols"/>
      </w:rPr>
    </w:lvl>
    <w:lvl w:ilvl="4">
      <w:start w:val="1"/>
      <w:numFmt w:val="bullet"/>
      <w:lvlText w:val="◦"/>
      <w:lvlJc w:val="left"/>
      <w:pPr>
        <w:ind w:left="2160" w:hanging="360"/>
      </w:pPr>
      <w:rPr>
        <w:rFonts w:ascii="Noto Sans Symbols" w:cs="Noto Sans Symbols" w:eastAsia="Noto Sans Symbols" w:hAnsi="Noto Sans Symbols"/>
      </w:rPr>
    </w:lvl>
    <w:lvl w:ilvl="5">
      <w:start w:val="1"/>
      <w:numFmt w:val="bullet"/>
      <w:lvlText w:val="▪"/>
      <w:lvlJc w:val="left"/>
      <w:pPr>
        <w:ind w:left="2520" w:hanging="360"/>
      </w:pPr>
      <w:rPr>
        <w:rFonts w:ascii="Noto Sans Symbols" w:cs="Noto Sans Symbols" w:eastAsia="Noto Sans Symbols" w:hAnsi="Noto Sans Symbols"/>
      </w:rPr>
    </w:lvl>
    <w:lvl w:ilvl="6">
      <w:start w:val="1"/>
      <w:numFmt w:val="bullet"/>
      <w:lvlText w:val="●"/>
      <w:lvlJc w:val="left"/>
      <w:pPr>
        <w:ind w:left="2880" w:hanging="360"/>
      </w:pPr>
      <w:rPr>
        <w:rFonts w:ascii="Noto Sans Symbols" w:cs="Noto Sans Symbols" w:eastAsia="Noto Sans Symbols" w:hAnsi="Noto Sans Symbols"/>
      </w:rPr>
    </w:lvl>
    <w:lvl w:ilvl="7">
      <w:start w:val="1"/>
      <w:numFmt w:val="bullet"/>
      <w:lvlText w:val="◦"/>
      <w:lvlJc w:val="left"/>
      <w:pPr>
        <w:ind w:left="3240" w:hanging="360"/>
      </w:pPr>
      <w:rPr>
        <w:rFonts w:ascii="Noto Sans Symbols" w:cs="Noto Sans Symbols" w:eastAsia="Noto Sans Symbols" w:hAnsi="Noto Sans Symbols"/>
      </w:rPr>
    </w:lvl>
    <w:lvl w:ilvl="8">
      <w:start w:val="1"/>
      <w:numFmt w:val="bullet"/>
      <w:lvlText w:val="▪"/>
      <w:lvlJc w:val="left"/>
      <w:pPr>
        <w:ind w:left="360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Liberation Serif" w:cs="Liberation Serif" w:eastAsia="Liberation Serif" w:hAnsi="Liberation Serif"/>
        <w:sz w:val="24"/>
        <w:szCs w:val="24"/>
        <w:lang w:val="et-EE"/>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spacing w:after="120" w:before="140" w:lineRule="auto"/>
    </w:pPr>
    <w:rPr>
      <w:rFonts w:ascii="Liberation Serif" w:cs="Liberation Serif" w:eastAsia="Liberation Serif" w:hAnsi="Liberation Serif"/>
      <w:b w:val="1"/>
      <w:sz w:val="28"/>
      <w:szCs w:val="28"/>
    </w:rPr>
  </w:style>
  <w:style w:type="paragraph" w:styleId="Heading4">
    <w:name w:val="heading 4"/>
    <w:basedOn w:val="Normal"/>
    <w:next w:val="Normal"/>
    <w:pPr>
      <w:keepNext w:val="1"/>
      <w:spacing w:after="120" w:before="120" w:lineRule="auto"/>
    </w:pPr>
    <w:rPr>
      <w:rFonts w:ascii="Liberation Serif" w:cs="Liberation Serif" w:eastAsia="Liberation Serif" w:hAnsi="Liberation Serif"/>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qFormat w:val="1"/>
    <w:pPr>
      <w:widowControl w:val="1"/>
      <w:bidi w:val="0"/>
    </w:pPr>
    <w:rPr>
      <w:rFonts w:ascii="Liberation Serif" w:cs="Arial" w:eastAsia="NSimSun" w:hAnsi="Liberation Serif"/>
      <w:color w:val="auto"/>
      <w:kern w:val="2"/>
      <w:sz w:val="24"/>
      <w:szCs w:val="24"/>
      <w:lang w:bidi="hi-IN" w:eastAsia="zh-CN" w:val="et-EE"/>
    </w:rPr>
  </w:style>
  <w:style w:type="paragraph" w:styleId="Heading3">
    <w:name w:val="heading 3"/>
    <w:basedOn w:val="Pealkiri"/>
    <w:next w:val="BodyText"/>
    <w:qFormat w:val="1"/>
    <w:pPr>
      <w:numPr>
        <w:ilvl w:val="0"/>
        <w:numId w:val="0"/>
      </w:numPr>
      <w:spacing w:after="120" w:before="140"/>
      <w:outlineLvl w:val="2"/>
    </w:pPr>
    <w:rPr>
      <w:rFonts w:ascii="Liberation Serif" w:cs="Arial" w:eastAsia="NSimSun" w:hAnsi="Liberation Serif"/>
      <w:b w:val="1"/>
      <w:bCs w:val="1"/>
      <w:sz w:val="28"/>
      <w:szCs w:val="28"/>
    </w:rPr>
  </w:style>
  <w:style w:type="paragraph" w:styleId="Heading4">
    <w:name w:val="heading 4"/>
    <w:basedOn w:val="Pealkiri"/>
    <w:next w:val="BodyText"/>
    <w:qFormat w:val="1"/>
    <w:pPr>
      <w:numPr>
        <w:ilvl w:val="0"/>
        <w:numId w:val="0"/>
      </w:numPr>
      <w:spacing w:after="120" w:before="120"/>
      <w:outlineLvl w:val="3"/>
    </w:pPr>
    <w:rPr>
      <w:rFonts w:ascii="Liberation Serif" w:cs="Arial" w:eastAsia="NSimSun" w:hAnsi="Liberation Serif"/>
      <w:b w:val="1"/>
      <w:bCs w:val="1"/>
      <w:sz w:val="24"/>
      <w:szCs w:val="24"/>
    </w:rPr>
  </w:style>
  <w:style w:type="character" w:styleId="DefaultParagraphFont">
    <w:name w:val="Default Paragraph Font"/>
    <w:qFormat w:val="1"/>
    <w:rPr/>
  </w:style>
  <w:style w:type="character" w:styleId="Strong">
    <w:name w:val="Strong"/>
    <w:basedOn w:val="DefaultParagraphFont"/>
    <w:qFormat w:val="1"/>
    <w:rPr>
      <w:b w:val="1"/>
      <w:bCs w:val="1"/>
    </w:rPr>
  </w:style>
  <w:style w:type="character" w:styleId="Hyperlink">
    <w:name w:val="Hyperlink"/>
    <w:rPr>
      <w:color w:val="000080"/>
      <w:u w:val="single"/>
    </w:rPr>
  </w:style>
  <w:style w:type="character" w:styleId="Allmrkusetekst">
    <w:name w:val="Allmärkuse tekst"/>
    <w:qFormat w:val="1"/>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Lpumrkusetekst">
    <w:name w:val="Lõpumärkuse tekst"/>
    <w:qFormat w:val="1"/>
    <w:rPr/>
  </w:style>
  <w:style w:type="paragraph" w:styleId="Pealkiri">
    <w:name w:val="Pealkiri"/>
    <w:basedOn w:val="Normal"/>
    <w:next w:val="BodyText"/>
    <w:qFormat w:val="1"/>
    <w:pPr>
      <w:keepNext w:val="1"/>
      <w:spacing w:after="120" w:before="240"/>
    </w:pPr>
    <w:rPr>
      <w:rFonts w:ascii="Liberation Sans" w:cs="Arial" w:eastAsia="Microsoft YaHei" w:hAnsi="Liberation Sans"/>
      <w:sz w:val="28"/>
      <w:szCs w:val="28"/>
    </w:rPr>
  </w:style>
  <w:style w:type="paragraph" w:styleId="BodyText">
    <w:name w:val="Body Text"/>
    <w:basedOn w:val="Normal"/>
    <w:pPr>
      <w:spacing w:after="140" w:before="0" w:line="276" w:lineRule="auto"/>
    </w:pPr>
    <w:rPr/>
  </w:style>
  <w:style w:type="paragraph" w:styleId="List">
    <w:name w:val="List"/>
    <w:basedOn w:val="BodyText"/>
    <w:pPr/>
    <w:rPr>
      <w:rFonts w:cs="Arial"/>
    </w:rPr>
  </w:style>
  <w:style w:type="paragraph" w:styleId="Caption">
    <w:name w:val="caption"/>
    <w:basedOn w:val="Normal"/>
    <w:qFormat w:val="1"/>
    <w:pPr>
      <w:suppressLineNumbers w:val="1"/>
      <w:spacing w:after="120" w:before="120"/>
    </w:pPr>
    <w:rPr>
      <w:rFonts w:cs="Arial"/>
      <w:i w:val="1"/>
      <w:iCs w:val="1"/>
      <w:sz w:val="24"/>
      <w:szCs w:val="24"/>
    </w:rPr>
  </w:style>
  <w:style w:type="paragraph" w:styleId="Register">
    <w:name w:val="Register"/>
    <w:basedOn w:val="Normal"/>
    <w:qFormat w:val="1"/>
    <w:pPr>
      <w:suppressLineNumbers w:val="1"/>
    </w:pPr>
    <w:rPr>
      <w:rFonts w:cs="Arial"/>
    </w:rPr>
  </w:style>
  <w:style w:type="paragraph" w:styleId="FootnoteText">
    <w:name w:val="footnote text"/>
    <w:basedOn w:val="Normal"/>
    <w:pPr>
      <w:suppressLineNumbers w:val="1"/>
      <w:ind w:start="340" w:hanging="340"/>
    </w:pPr>
    <w:rPr>
      <w:sz w:val="20"/>
      <w:szCs w:val="2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notes.xml.rels><?xml version="1.0" encoding="UTF-8" standalone="yes"?><Relationships xmlns="http://schemas.openxmlformats.org/package/2006/relationships"><Relationship Id="rId1" Type="http://schemas.openxmlformats.org/officeDocument/2006/relationships/hyperlink" Target="https://www.responsiblebusiness.org/media/docs/RBACodeofConduct8.0_English.pdf" TargetMode="External"/><Relationship Id="rId2" Type="http://schemas.openxmlformats.org/officeDocument/2006/relationships/hyperlink" Target="https://www.responsiblebusiness.org/media/docs/RBACodeofConduct8.0_English.pdf" TargetMode="External"/></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h+XD6vu3xkLTwAYGP0TM0ZD8JGw==">CgMxLjA4AHIhMUxoOUxfa3B2T2N6N054cXJKMFhjQmVsY2NNc2N3QVBG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2025-04-24T14:37:47Z</dcterms:created>
</cp:coreProperties>
</file>